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017" w:rsidRPr="002165A9" w:rsidRDefault="00533527" w:rsidP="0083401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2165A9">
        <w:rPr>
          <w:rFonts w:ascii="Arial" w:hAnsi="Arial" w:cs="Arial"/>
          <w:b/>
          <w:sz w:val="24"/>
          <w:szCs w:val="24"/>
        </w:rPr>
        <w:t xml:space="preserve">CfD Market Readiness </w:t>
      </w:r>
      <w:r w:rsidR="00B378E4" w:rsidRPr="002165A9">
        <w:rPr>
          <w:rFonts w:ascii="Arial" w:hAnsi="Arial" w:cs="Arial"/>
          <w:b/>
          <w:sz w:val="24"/>
          <w:szCs w:val="24"/>
        </w:rPr>
        <w:t xml:space="preserve">Working Group </w:t>
      </w:r>
      <w:r w:rsidR="004339A6" w:rsidRPr="002165A9">
        <w:rPr>
          <w:rFonts w:ascii="Arial" w:hAnsi="Arial" w:cs="Arial"/>
          <w:b/>
          <w:sz w:val="24"/>
          <w:szCs w:val="24"/>
        </w:rPr>
        <w:t>2</w:t>
      </w:r>
      <w:r w:rsidR="00B378E4" w:rsidRPr="002165A9">
        <w:rPr>
          <w:rFonts w:ascii="Arial" w:hAnsi="Arial" w:cs="Arial"/>
          <w:b/>
          <w:sz w:val="24"/>
          <w:szCs w:val="24"/>
        </w:rPr>
        <w:t xml:space="preserve"> –</w:t>
      </w:r>
      <w:r w:rsidR="004339A6" w:rsidRPr="002165A9">
        <w:rPr>
          <w:rFonts w:ascii="Arial" w:hAnsi="Arial" w:cs="Arial"/>
          <w:b/>
          <w:sz w:val="24"/>
          <w:szCs w:val="24"/>
        </w:rPr>
        <w:t xml:space="preserve"> Code of Practice</w:t>
      </w:r>
    </w:p>
    <w:p w:rsidR="00834017" w:rsidRPr="002165A9" w:rsidRDefault="007E4175" w:rsidP="0083401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Tuesday</w:t>
      </w:r>
      <w:r w:rsidR="00B378E4" w:rsidRPr="002165A9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3</w:t>
      </w:r>
      <w:r w:rsidRPr="007E4175">
        <w:rPr>
          <w:rFonts w:ascii="Arial" w:hAnsi="Arial" w:cs="Arial"/>
          <w:b/>
          <w:sz w:val="24"/>
          <w:szCs w:val="24"/>
          <w:vertAlign w:val="superscript"/>
        </w:rPr>
        <w:t>rd</w:t>
      </w:r>
      <w:r>
        <w:rPr>
          <w:rFonts w:ascii="Arial" w:hAnsi="Arial" w:cs="Arial"/>
          <w:b/>
          <w:sz w:val="24"/>
          <w:szCs w:val="24"/>
        </w:rPr>
        <w:t xml:space="preserve"> September 2013 12</w:t>
      </w:r>
      <w:r w:rsidR="00834017" w:rsidRPr="002165A9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>00 – 13</w:t>
      </w:r>
      <w:r w:rsidR="00834017" w:rsidRPr="002165A9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>30</w:t>
      </w:r>
    </w:p>
    <w:p w:rsidR="000062F8" w:rsidRPr="002165A9" w:rsidRDefault="00D91ADA" w:rsidP="00D4413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165A9">
        <w:rPr>
          <w:rFonts w:ascii="Arial" w:hAnsi="Arial" w:cs="Arial"/>
          <w:b/>
          <w:sz w:val="24"/>
          <w:szCs w:val="24"/>
        </w:rPr>
        <w:t>Minutes and actions</w:t>
      </w:r>
    </w:p>
    <w:p w:rsidR="00533527" w:rsidRPr="002165A9" w:rsidRDefault="00533527" w:rsidP="00D4413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30BF1" w:rsidRPr="002165A9" w:rsidRDefault="00830BF1" w:rsidP="0053352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165A9">
        <w:rPr>
          <w:rFonts w:ascii="Arial" w:hAnsi="Arial" w:cs="Arial"/>
          <w:b/>
          <w:sz w:val="24"/>
          <w:szCs w:val="24"/>
        </w:rPr>
        <w:t>Attendees:</w:t>
      </w:r>
    </w:p>
    <w:p w:rsidR="0045161A" w:rsidRPr="002165A9" w:rsidRDefault="0045161A" w:rsidP="0045161A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45161A" w:rsidRPr="002165A9" w:rsidRDefault="0045161A" w:rsidP="0045161A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2165A9">
        <w:rPr>
          <w:rFonts w:ascii="Arial" w:hAnsi="Arial" w:cs="Arial"/>
          <w:b/>
          <w:sz w:val="24"/>
          <w:szCs w:val="24"/>
          <w:u w:val="single"/>
        </w:rPr>
        <w:t>DECC attendees:</w:t>
      </w:r>
    </w:p>
    <w:p w:rsidR="0045161A" w:rsidRPr="002165A9" w:rsidRDefault="0045161A" w:rsidP="0045161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165A9">
        <w:rPr>
          <w:rFonts w:ascii="Arial" w:hAnsi="Arial" w:cs="Arial"/>
          <w:sz w:val="24"/>
          <w:szCs w:val="24"/>
        </w:rPr>
        <w:t>Matt Coyne (chair)</w:t>
      </w:r>
    </w:p>
    <w:p w:rsidR="0045161A" w:rsidRDefault="0045161A" w:rsidP="0045161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165A9">
        <w:rPr>
          <w:rFonts w:ascii="Arial" w:hAnsi="Arial" w:cs="Arial"/>
          <w:sz w:val="24"/>
          <w:szCs w:val="24"/>
        </w:rPr>
        <w:t>Jessica Henry</w:t>
      </w:r>
    </w:p>
    <w:p w:rsidR="007E4175" w:rsidRDefault="007E4175" w:rsidP="004516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Tim Warham</w:t>
      </w:r>
    </w:p>
    <w:p w:rsidR="00C365AD" w:rsidRDefault="007E4175" w:rsidP="00C365AD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Adam Harper</w:t>
      </w:r>
      <w:r w:rsidR="00C365AD" w:rsidRPr="00C365AD"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:rsidR="00C365AD" w:rsidRDefault="00C365AD" w:rsidP="00C365AD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C365AD" w:rsidRPr="002165A9" w:rsidRDefault="00C365AD" w:rsidP="00C365AD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2165A9">
        <w:rPr>
          <w:rFonts w:ascii="Arial" w:hAnsi="Arial" w:cs="Arial"/>
          <w:b/>
          <w:sz w:val="24"/>
          <w:szCs w:val="24"/>
          <w:u w:val="single"/>
        </w:rPr>
        <w:t>Group members:</w:t>
      </w:r>
    </w:p>
    <w:p w:rsidR="00C365AD" w:rsidRPr="002165A9" w:rsidRDefault="00C365AD" w:rsidP="00C365A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165A9">
        <w:rPr>
          <w:rFonts w:ascii="Arial" w:hAnsi="Arial" w:cs="Arial"/>
          <w:sz w:val="24"/>
          <w:szCs w:val="24"/>
        </w:rPr>
        <w:t>Terry Ballard, RWE</w:t>
      </w:r>
    </w:p>
    <w:p w:rsidR="00C365AD" w:rsidRDefault="00C365AD" w:rsidP="00C365A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165A9">
        <w:rPr>
          <w:rFonts w:ascii="Arial" w:hAnsi="Arial" w:cs="Arial"/>
          <w:sz w:val="24"/>
          <w:szCs w:val="24"/>
        </w:rPr>
        <w:t>Martin Bell, Ofgem</w:t>
      </w:r>
    </w:p>
    <w:p w:rsidR="00C365AD" w:rsidRDefault="00C365AD" w:rsidP="00C365A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Emma Christian (for Christopher Granby), Infinis</w:t>
      </w:r>
    </w:p>
    <w:p w:rsidR="00C365AD" w:rsidRPr="002165A9" w:rsidRDefault="00C365AD" w:rsidP="00C365A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Owen Forster, EDF</w:t>
      </w:r>
    </w:p>
    <w:p w:rsidR="00C365AD" w:rsidRPr="002165A9" w:rsidRDefault="00C365AD" w:rsidP="00C365A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Claire Nelson (for Peter Lynch)</w:t>
      </w:r>
      <w:r w:rsidRPr="002165A9">
        <w:rPr>
          <w:rFonts w:ascii="Arial" w:hAnsi="Arial" w:cs="Arial"/>
          <w:sz w:val="24"/>
          <w:szCs w:val="24"/>
        </w:rPr>
        <w:t>, Mainstream Renewables,</w:t>
      </w:r>
    </w:p>
    <w:p w:rsidR="00C365AD" w:rsidRPr="002165A9" w:rsidRDefault="00C365AD" w:rsidP="00C365A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165A9">
        <w:rPr>
          <w:rFonts w:ascii="Arial" w:hAnsi="Arial" w:cs="Arial"/>
          <w:sz w:val="24"/>
          <w:szCs w:val="24"/>
        </w:rPr>
        <w:t>Stuart Noble, Scottish Power</w:t>
      </w:r>
    </w:p>
    <w:p w:rsidR="00C365AD" w:rsidRPr="002165A9" w:rsidRDefault="00C365AD" w:rsidP="00C365A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165A9">
        <w:rPr>
          <w:rFonts w:ascii="Arial" w:hAnsi="Arial" w:cs="Arial"/>
          <w:sz w:val="24"/>
          <w:szCs w:val="24"/>
        </w:rPr>
        <w:t>James O’Meara, SSE</w:t>
      </w:r>
    </w:p>
    <w:p w:rsidR="00C365AD" w:rsidRPr="002165A9" w:rsidRDefault="00C365AD" w:rsidP="00C365A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165A9">
        <w:rPr>
          <w:rFonts w:ascii="Arial" w:hAnsi="Arial" w:cs="Arial"/>
          <w:sz w:val="24"/>
          <w:szCs w:val="24"/>
        </w:rPr>
        <w:t>Stephen Packwood, RES</w:t>
      </w:r>
    </w:p>
    <w:p w:rsidR="00C365AD" w:rsidRPr="002165A9" w:rsidRDefault="00C365AD" w:rsidP="00C365A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165A9">
        <w:rPr>
          <w:rFonts w:ascii="Arial" w:hAnsi="Arial" w:cs="Arial"/>
          <w:sz w:val="24"/>
          <w:szCs w:val="24"/>
        </w:rPr>
        <w:t>Christian Pegrum, Eon</w:t>
      </w:r>
    </w:p>
    <w:p w:rsidR="00C365AD" w:rsidRDefault="00C365AD" w:rsidP="00C365AD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C365AD" w:rsidRPr="00E052B7" w:rsidRDefault="00C365AD" w:rsidP="00C365AD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E052B7">
        <w:rPr>
          <w:rFonts w:ascii="Arial" w:hAnsi="Arial" w:cs="Arial"/>
          <w:b/>
          <w:sz w:val="24"/>
          <w:szCs w:val="24"/>
          <w:u w:val="single"/>
        </w:rPr>
        <w:t>Apologies:</w:t>
      </w:r>
    </w:p>
    <w:p w:rsidR="00C365AD" w:rsidRDefault="00C365AD" w:rsidP="00C365A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Scott Buckleton, GPS</w:t>
      </w:r>
    </w:p>
    <w:p w:rsidR="00C365AD" w:rsidRDefault="00C365AD" w:rsidP="00C365A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Kirsty Hamilton, LCFG</w:t>
      </w:r>
    </w:p>
    <w:p w:rsidR="00292E94" w:rsidRPr="00C365AD" w:rsidRDefault="00C365AD" w:rsidP="00D4413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365AD">
        <w:rPr>
          <w:rFonts w:ascii="Arial" w:hAnsi="Arial" w:cs="Arial"/>
          <w:sz w:val="24"/>
          <w:szCs w:val="24"/>
        </w:rPr>
        <w:t>Lee Priestly, Centrica</w:t>
      </w:r>
    </w:p>
    <w:p w:rsidR="00C365AD" w:rsidRPr="00C365AD" w:rsidRDefault="00C365AD" w:rsidP="00D4413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365AD">
        <w:rPr>
          <w:rFonts w:ascii="Arial" w:hAnsi="Arial" w:cs="Arial"/>
          <w:sz w:val="24"/>
          <w:szCs w:val="24"/>
        </w:rPr>
        <w:t>Simon Proctor, Good Energy</w:t>
      </w:r>
    </w:p>
    <w:p w:rsidR="00C365AD" w:rsidRPr="00C365AD" w:rsidRDefault="00C365AD" w:rsidP="00D4413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365AD">
        <w:rPr>
          <w:rFonts w:ascii="Arial" w:hAnsi="Arial" w:cs="Arial"/>
          <w:sz w:val="24"/>
          <w:szCs w:val="24"/>
        </w:rPr>
        <w:t>Robert Williams, BT</w:t>
      </w:r>
    </w:p>
    <w:tbl>
      <w:tblPr>
        <w:tblpPr w:leftFromText="180" w:rightFromText="180" w:vertAnchor="text" w:horzAnchor="margin" w:tblpX="-68" w:tblpY="248"/>
        <w:tblW w:w="10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93"/>
        <w:gridCol w:w="41"/>
        <w:gridCol w:w="3079"/>
        <w:gridCol w:w="39"/>
        <w:gridCol w:w="4394"/>
        <w:gridCol w:w="1560"/>
        <w:gridCol w:w="1202"/>
      </w:tblGrid>
      <w:tr w:rsidR="002165A9" w:rsidRPr="002165A9" w:rsidTr="00CD5914">
        <w:trPr>
          <w:trHeight w:val="843"/>
        </w:trPr>
        <w:tc>
          <w:tcPr>
            <w:tcW w:w="493" w:type="dxa"/>
            <w:shd w:val="clear" w:color="auto" w:fill="FFFFFF"/>
          </w:tcPr>
          <w:p w:rsidR="002165A9" w:rsidRPr="002165A9" w:rsidRDefault="002165A9" w:rsidP="00EA68C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26" w:hanging="42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shd w:val="clear" w:color="auto" w:fill="FFFFFF"/>
          </w:tcPr>
          <w:p w:rsidR="002165A9" w:rsidRPr="002165A9" w:rsidRDefault="007E4175" w:rsidP="00D439E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Feedback from Steering Board</w:t>
            </w:r>
          </w:p>
        </w:tc>
        <w:tc>
          <w:tcPr>
            <w:tcW w:w="5993" w:type="dxa"/>
            <w:gridSpan w:val="3"/>
            <w:shd w:val="clear" w:color="auto" w:fill="FFFFFF"/>
          </w:tcPr>
          <w:p w:rsidR="002165A9" w:rsidRPr="002165A9" w:rsidRDefault="002165A9" w:rsidP="00EA68C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02" w:type="dxa"/>
            <w:shd w:val="clear" w:color="auto" w:fill="FFFFFF"/>
          </w:tcPr>
          <w:p w:rsidR="002165A9" w:rsidRPr="002165A9" w:rsidRDefault="00B9059F" w:rsidP="005D12B5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2165A9">
              <w:rPr>
                <w:rFonts w:ascii="Arial" w:hAnsi="Arial" w:cs="Arial"/>
                <w:b/>
                <w:sz w:val="24"/>
                <w:szCs w:val="24"/>
              </w:rPr>
              <w:t>Matt Coyne</w:t>
            </w:r>
          </w:p>
        </w:tc>
      </w:tr>
      <w:tr w:rsidR="00657DA3" w:rsidRPr="002165A9" w:rsidTr="00A75641">
        <w:trPr>
          <w:trHeight w:val="1406"/>
        </w:trPr>
        <w:tc>
          <w:tcPr>
            <w:tcW w:w="10808" w:type="dxa"/>
            <w:gridSpan w:val="7"/>
            <w:shd w:val="clear" w:color="auto" w:fill="FFFFFF"/>
          </w:tcPr>
          <w:p w:rsidR="00E53355" w:rsidRDefault="007E4175" w:rsidP="00F73A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1" w:name="_Hlk322415470"/>
            <w:r>
              <w:rPr>
                <w:rFonts w:ascii="Arial" w:hAnsi="Arial" w:cs="Arial"/>
                <w:sz w:val="24"/>
                <w:szCs w:val="24"/>
              </w:rPr>
              <w:t xml:space="preserve">Matt Coyne gave an update on the last meeting of the steering board and the group discussed their recommendations, including </w:t>
            </w:r>
            <w:r w:rsidR="00E53355">
              <w:rPr>
                <w:rFonts w:ascii="Arial" w:hAnsi="Arial" w:cs="Arial"/>
                <w:sz w:val="24"/>
                <w:szCs w:val="24"/>
              </w:rPr>
              <w:t xml:space="preserve">the rebalancing of responsibilities between generator and offtaker; and the addition of an element on reporting.  </w:t>
            </w:r>
          </w:p>
          <w:p w:rsidR="00E53355" w:rsidRDefault="00E53355" w:rsidP="00F73A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53355" w:rsidRDefault="00E53355" w:rsidP="00E533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The Group noted that the </w:t>
            </w:r>
            <w:r w:rsidR="007E4175">
              <w:rPr>
                <w:rFonts w:ascii="Arial" w:hAnsi="Arial" w:cs="Arial"/>
                <w:sz w:val="24"/>
                <w:szCs w:val="24"/>
              </w:rPr>
              <w:t>addition of the timing &amp; process section to the code</w:t>
            </w:r>
            <w:r>
              <w:rPr>
                <w:rFonts w:ascii="Arial" w:hAnsi="Arial" w:cs="Arial"/>
                <w:sz w:val="24"/>
                <w:szCs w:val="24"/>
              </w:rPr>
              <w:t xml:space="preserve"> included significant responsibilities for the offtaker</w:t>
            </w:r>
            <w:r w:rsidR="007E4175">
              <w:rPr>
                <w:rFonts w:ascii="Arial" w:hAnsi="Arial" w:cs="Arial"/>
                <w:sz w:val="24"/>
                <w:szCs w:val="24"/>
              </w:rPr>
              <w:t xml:space="preserve">.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E53355" w:rsidRDefault="00E53355" w:rsidP="00E533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7638C" w:rsidRDefault="00E53355" w:rsidP="00E533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 Group discussed the possible elements of reporting later in the meeting.</w:t>
            </w:r>
          </w:p>
          <w:p w:rsidR="00E53355" w:rsidRPr="002165A9" w:rsidRDefault="00E53355" w:rsidP="00E533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1"/>
      <w:tr w:rsidR="002165A9" w:rsidRPr="002165A9" w:rsidTr="000D4C2B">
        <w:trPr>
          <w:trHeight w:val="715"/>
        </w:trPr>
        <w:tc>
          <w:tcPr>
            <w:tcW w:w="493" w:type="dxa"/>
            <w:shd w:val="clear" w:color="auto" w:fill="FFFFFF"/>
          </w:tcPr>
          <w:p w:rsidR="002165A9" w:rsidRPr="002165A9" w:rsidRDefault="002165A9" w:rsidP="0083401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26" w:hanging="42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shd w:val="clear" w:color="auto" w:fill="FFFFFF"/>
          </w:tcPr>
          <w:p w:rsidR="002165A9" w:rsidRPr="002165A9" w:rsidRDefault="007E4175" w:rsidP="007E4175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Discussion on </w:t>
            </w:r>
            <w:r w:rsidR="00DE5E97">
              <w:rPr>
                <w:rFonts w:ascii="Arial" w:hAnsi="Arial" w:cs="Arial"/>
                <w:b/>
                <w:sz w:val="24"/>
                <w:szCs w:val="24"/>
              </w:rPr>
              <w:t xml:space="preserve">Best Practice </w:t>
            </w:r>
            <w:r>
              <w:rPr>
                <w:rFonts w:ascii="Arial" w:hAnsi="Arial" w:cs="Arial"/>
                <w:b/>
                <w:sz w:val="24"/>
                <w:szCs w:val="24"/>
              </w:rPr>
              <w:t>Guidelines</w:t>
            </w:r>
          </w:p>
        </w:tc>
        <w:tc>
          <w:tcPr>
            <w:tcW w:w="5993" w:type="dxa"/>
            <w:gridSpan w:val="3"/>
            <w:shd w:val="clear" w:color="auto" w:fill="FFFFFF"/>
          </w:tcPr>
          <w:p w:rsidR="002165A9" w:rsidRPr="002165A9" w:rsidRDefault="00B9059F" w:rsidP="00FC34A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Best Practice Guidelines Draft Paper</w:t>
            </w:r>
          </w:p>
        </w:tc>
        <w:tc>
          <w:tcPr>
            <w:tcW w:w="1202" w:type="dxa"/>
            <w:shd w:val="clear" w:color="auto" w:fill="FFFFFF"/>
          </w:tcPr>
          <w:p w:rsidR="002165A9" w:rsidRPr="002165A9" w:rsidRDefault="00B9059F" w:rsidP="0083401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All</w:t>
            </w:r>
          </w:p>
        </w:tc>
      </w:tr>
      <w:tr w:rsidR="00657DA3" w:rsidRPr="002165A9" w:rsidTr="00C844C2">
        <w:trPr>
          <w:trHeight w:val="841"/>
        </w:trPr>
        <w:tc>
          <w:tcPr>
            <w:tcW w:w="10808" w:type="dxa"/>
            <w:gridSpan w:val="7"/>
            <w:shd w:val="clear" w:color="auto" w:fill="FFFFFF"/>
          </w:tcPr>
          <w:p w:rsidR="007E4175" w:rsidRDefault="007E4175" w:rsidP="007E4175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The group ran through the guidelines as they currently stand and discussed each section in detail. </w:t>
            </w:r>
          </w:p>
          <w:p w:rsidR="007E4175" w:rsidRDefault="007E4175" w:rsidP="007E4175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Milestones:</w:t>
            </w:r>
          </w:p>
          <w:p w:rsidR="007E4175" w:rsidRPr="00982787" w:rsidRDefault="007E4175" w:rsidP="007E4175">
            <w:pPr>
              <w:pStyle w:val="ListParagraph"/>
              <w:numPr>
                <w:ilvl w:val="0"/>
                <w:numId w:val="33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On the CfD, the group agreed that this section may need to link to the CfD process once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further detail is available. It was </w:t>
            </w:r>
            <w:r w:rsidR="009A20B7">
              <w:rPr>
                <w:rFonts w:ascii="Arial" w:hAnsi="Arial" w:cs="Arial"/>
                <w:sz w:val="24"/>
                <w:szCs w:val="24"/>
              </w:rPr>
              <w:t xml:space="preserve">generally agreed that </w:t>
            </w:r>
            <w:r>
              <w:rPr>
                <w:rFonts w:ascii="Arial" w:hAnsi="Arial" w:cs="Arial"/>
                <w:sz w:val="24"/>
                <w:szCs w:val="24"/>
              </w:rPr>
              <w:t xml:space="preserve">a CfD </w:t>
            </w:r>
            <w:r w:rsidR="009A20B7">
              <w:rPr>
                <w:rFonts w:ascii="Arial" w:hAnsi="Arial" w:cs="Arial"/>
                <w:sz w:val="24"/>
                <w:szCs w:val="24"/>
              </w:rPr>
              <w:t>could</w:t>
            </w:r>
            <w:r>
              <w:rPr>
                <w:rFonts w:ascii="Arial" w:hAnsi="Arial" w:cs="Arial"/>
                <w:sz w:val="24"/>
                <w:szCs w:val="24"/>
              </w:rPr>
              <w:t xml:space="preserve"> be included in the ‘minimum information’</w:t>
            </w:r>
            <w:r w:rsidR="009A20B7">
              <w:rPr>
                <w:rFonts w:ascii="Arial" w:hAnsi="Arial" w:cs="Arial"/>
                <w:sz w:val="24"/>
                <w:szCs w:val="24"/>
              </w:rPr>
              <w:t xml:space="preserve"> section. </w:t>
            </w:r>
          </w:p>
          <w:p w:rsidR="006963C8" w:rsidRDefault="009A20B7" w:rsidP="009A20B7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Minimum information: </w:t>
            </w:r>
          </w:p>
          <w:p w:rsidR="00AA5AC2" w:rsidRDefault="009A20B7" w:rsidP="009A20B7">
            <w:pPr>
              <w:pStyle w:val="ListParagraph"/>
              <w:numPr>
                <w:ilvl w:val="0"/>
                <w:numId w:val="33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The group picked up on a couple of points in particular, </w:t>
            </w:r>
          </w:p>
          <w:p w:rsidR="003538CB" w:rsidRDefault="00AA5AC2" w:rsidP="00AA5AC2">
            <w:pPr>
              <w:pStyle w:val="ListParagraph"/>
              <w:numPr>
                <w:ilvl w:val="1"/>
                <w:numId w:val="33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</w:t>
            </w:r>
            <w:r w:rsidR="009A20B7">
              <w:rPr>
                <w:rFonts w:ascii="Arial" w:hAnsi="Arial" w:cs="Arial"/>
                <w:sz w:val="24"/>
                <w:szCs w:val="24"/>
              </w:rPr>
              <w:t xml:space="preserve">he requirement to report the </w:t>
            </w:r>
            <w:r w:rsidR="009A20B7" w:rsidRPr="00AA5AC2">
              <w:rPr>
                <w:rFonts w:ascii="Arial" w:hAnsi="Arial" w:cs="Arial"/>
                <w:sz w:val="24"/>
                <w:szCs w:val="24"/>
                <w:u w:val="single"/>
              </w:rPr>
              <w:t>ultimate owners</w:t>
            </w:r>
            <w:r w:rsidR="009A20B7">
              <w:rPr>
                <w:rFonts w:ascii="Arial" w:hAnsi="Arial" w:cs="Arial"/>
                <w:sz w:val="24"/>
                <w:szCs w:val="24"/>
              </w:rPr>
              <w:t>. There was a short debate on the usefulness of providing this information but a consensus was reached on inclusion</w:t>
            </w:r>
            <w:r>
              <w:rPr>
                <w:rFonts w:ascii="Arial" w:hAnsi="Arial" w:cs="Arial"/>
                <w:sz w:val="24"/>
                <w:szCs w:val="24"/>
              </w:rPr>
              <w:t xml:space="preserve"> with additional explanation of what was meant</w:t>
            </w:r>
            <w:r w:rsidR="009A20B7">
              <w:rPr>
                <w:rFonts w:ascii="Arial" w:hAnsi="Arial" w:cs="Arial"/>
                <w:sz w:val="24"/>
                <w:szCs w:val="24"/>
              </w:rPr>
              <w:t xml:space="preserve">. There was general agreement for the proposition to broaden the term to read ‘corporate structure’ as it would cover more types of ownership and provide a more transparent overview. </w:t>
            </w:r>
          </w:p>
          <w:p w:rsidR="009A20B7" w:rsidRDefault="009A20B7" w:rsidP="00AA5AC2">
            <w:pPr>
              <w:pStyle w:val="ListParagraph"/>
              <w:numPr>
                <w:ilvl w:val="1"/>
                <w:numId w:val="33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There was also some debate over reporting expected output – it was deemed important to clarify this definition. </w:t>
            </w:r>
          </w:p>
          <w:p w:rsidR="009A20B7" w:rsidRDefault="009A20B7" w:rsidP="009A20B7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A20B7">
              <w:rPr>
                <w:rFonts w:ascii="Arial" w:hAnsi="Arial" w:cs="Arial"/>
                <w:b/>
                <w:sz w:val="24"/>
                <w:szCs w:val="24"/>
              </w:rPr>
              <w:t>Action</w:t>
            </w:r>
            <w:r>
              <w:rPr>
                <w:rFonts w:ascii="Arial" w:hAnsi="Arial" w:cs="Arial"/>
                <w:sz w:val="24"/>
                <w:szCs w:val="24"/>
              </w:rPr>
              <w:t xml:space="preserve">: DECC to add explanatory footnotes to some of the minimum information to clarify what is expected from certain areas. </w:t>
            </w:r>
          </w:p>
          <w:p w:rsidR="003538CB" w:rsidRDefault="009A20B7" w:rsidP="009A20B7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A20B7">
              <w:rPr>
                <w:rFonts w:ascii="Arial" w:hAnsi="Arial" w:cs="Arial"/>
                <w:b/>
                <w:sz w:val="24"/>
                <w:szCs w:val="24"/>
              </w:rPr>
              <w:t>Action</w:t>
            </w:r>
            <w:r>
              <w:rPr>
                <w:rFonts w:ascii="Arial" w:hAnsi="Arial" w:cs="Arial"/>
                <w:sz w:val="24"/>
                <w:szCs w:val="24"/>
              </w:rPr>
              <w:t xml:space="preserve">: Stephen Packwood to draft options for section 5 (key commercial terms required) </w:t>
            </w:r>
          </w:p>
          <w:p w:rsidR="003538CB" w:rsidRDefault="003538CB" w:rsidP="009A20B7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Process &amp; Timings</w:t>
            </w:r>
            <w:r w:rsidR="00AA5AC2"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9A20B7" w:rsidRPr="003538CB" w:rsidRDefault="003538CB" w:rsidP="003538CB">
            <w:pPr>
              <w:pStyle w:val="ListParagraph"/>
              <w:numPr>
                <w:ilvl w:val="0"/>
                <w:numId w:val="33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General agreement over the usefulness of an expected process/timings section to give greater clarity for new entrants, but the group wanted it to be made clear that some timings could be expressed as a range depending on the complexity of the project/resources </w:t>
            </w:r>
            <w:r w:rsidRPr="003538CB">
              <w:rPr>
                <w:rFonts w:ascii="Arial" w:hAnsi="Arial" w:cs="Arial"/>
                <w:sz w:val="24"/>
                <w:szCs w:val="24"/>
              </w:rPr>
              <w:t xml:space="preserve">required to process contracts. </w:t>
            </w:r>
          </w:p>
          <w:p w:rsidR="003538CB" w:rsidRPr="004F6F50" w:rsidRDefault="003538CB" w:rsidP="003538CB">
            <w:pPr>
              <w:pStyle w:val="ListParagraph"/>
              <w:numPr>
                <w:ilvl w:val="0"/>
                <w:numId w:val="33"/>
              </w:numPr>
              <w:rPr>
                <w:rFonts w:ascii="Arial" w:hAnsi="Arial" w:cs="Arial"/>
                <w:sz w:val="24"/>
                <w:szCs w:val="24"/>
              </w:rPr>
            </w:pPr>
            <w:r w:rsidRPr="003538CB">
              <w:rPr>
                <w:rFonts w:ascii="Arial" w:hAnsi="Arial" w:cs="Arial"/>
                <w:sz w:val="24"/>
                <w:szCs w:val="24"/>
              </w:rPr>
              <w:t>Step f (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Pr="003538CB">
              <w:rPr>
                <w:rFonts w:ascii="Arial" w:hAnsi="Arial" w:cs="Arial"/>
                <w:sz w:val="24"/>
                <w:szCs w:val="24"/>
              </w:rPr>
              <w:t xml:space="preserve">ndicative offer provided by Offtaker or Offtaker supplies Generator with reasons for </w:t>
            </w:r>
            <w:r w:rsidRPr="004F6F50">
              <w:rPr>
                <w:rFonts w:ascii="Arial" w:hAnsi="Arial" w:cs="Arial"/>
                <w:sz w:val="24"/>
                <w:szCs w:val="24"/>
              </w:rPr>
              <w:t xml:space="preserve">decision not to tender) was discussed at length, and it was agreed that the time should be expressed as a range with the top end extended to 8 weeks. </w:t>
            </w:r>
          </w:p>
          <w:p w:rsidR="003538CB" w:rsidRPr="004F6F50" w:rsidRDefault="003538CB" w:rsidP="004F6F50">
            <w:pPr>
              <w:pStyle w:val="ListParagraph"/>
              <w:numPr>
                <w:ilvl w:val="0"/>
                <w:numId w:val="33"/>
              </w:numPr>
              <w:rPr>
                <w:rFonts w:ascii="Arial" w:hAnsi="Arial" w:cs="Arial"/>
                <w:sz w:val="24"/>
                <w:szCs w:val="24"/>
              </w:rPr>
            </w:pPr>
            <w:r w:rsidRPr="004F6F50">
              <w:rPr>
                <w:rFonts w:ascii="Arial" w:hAnsi="Arial" w:cs="Arial"/>
                <w:sz w:val="24"/>
                <w:szCs w:val="24"/>
              </w:rPr>
              <w:t>Steps c</w:t>
            </w:r>
            <w:r w:rsidR="004F6F50" w:rsidRPr="004F6F5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F6F50">
              <w:rPr>
                <w:rFonts w:ascii="Arial" w:hAnsi="Arial" w:cs="Arial"/>
                <w:sz w:val="24"/>
                <w:szCs w:val="24"/>
              </w:rPr>
              <w:t>&amp;</w:t>
            </w:r>
            <w:r w:rsidR="004F6F50" w:rsidRPr="004F6F5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F6F50">
              <w:rPr>
                <w:rFonts w:ascii="Arial" w:hAnsi="Arial" w:cs="Arial"/>
                <w:sz w:val="24"/>
                <w:szCs w:val="24"/>
              </w:rPr>
              <w:t xml:space="preserve">d were also discussed, as </w:t>
            </w:r>
            <w:r w:rsidR="004F6F50" w:rsidRPr="004F6F50">
              <w:rPr>
                <w:rFonts w:ascii="Arial" w:hAnsi="Arial" w:cs="Arial"/>
                <w:sz w:val="24"/>
                <w:szCs w:val="24"/>
              </w:rPr>
              <w:t xml:space="preserve">the point was made that NDAs are not always offered before the generator issues a Request for Proposal. The group agreed to clarify that an NDA at this point would be optional. </w:t>
            </w:r>
          </w:p>
          <w:p w:rsidR="004F6F50" w:rsidRPr="004F6F50" w:rsidRDefault="004F6F50" w:rsidP="004F6F50">
            <w:pPr>
              <w:pStyle w:val="ListParagraph"/>
              <w:numPr>
                <w:ilvl w:val="0"/>
                <w:numId w:val="33"/>
              </w:numPr>
              <w:rPr>
                <w:rFonts w:ascii="Arial" w:hAnsi="Arial" w:cs="Arial"/>
                <w:sz w:val="24"/>
                <w:szCs w:val="24"/>
              </w:rPr>
            </w:pPr>
            <w:r w:rsidRPr="004F6F50">
              <w:rPr>
                <w:rFonts w:ascii="Arial" w:hAnsi="Arial" w:cs="Arial"/>
                <w:sz w:val="24"/>
                <w:szCs w:val="24"/>
              </w:rPr>
              <w:t xml:space="preserve">To improve the process, the group agreed that it might be useful to include a step for the offtaker to provide the generator with an estimate of the expected timings for subsequent steps during initial dialogue (step b). </w:t>
            </w:r>
          </w:p>
          <w:p w:rsidR="004F6F50" w:rsidRPr="004F6F50" w:rsidRDefault="004F6F50" w:rsidP="004F6F50">
            <w:pPr>
              <w:pStyle w:val="ListParagraph"/>
              <w:numPr>
                <w:ilvl w:val="0"/>
                <w:numId w:val="33"/>
              </w:numPr>
              <w:rPr>
                <w:rFonts w:ascii="Arial" w:hAnsi="Arial" w:cs="Arial"/>
                <w:sz w:val="24"/>
                <w:szCs w:val="24"/>
              </w:rPr>
            </w:pPr>
            <w:r w:rsidRPr="004F6F50">
              <w:rPr>
                <w:rFonts w:ascii="Arial" w:hAnsi="Arial" w:cs="Arial"/>
                <w:sz w:val="24"/>
                <w:szCs w:val="24"/>
              </w:rPr>
              <w:t xml:space="preserve">The group also discussed including any subsequent steps after the generator has accepted a proposal. </w:t>
            </w:r>
            <w:r w:rsidR="00AA5AC2">
              <w:rPr>
                <w:rFonts w:ascii="Arial" w:hAnsi="Arial" w:cs="Arial"/>
                <w:sz w:val="24"/>
                <w:szCs w:val="24"/>
              </w:rPr>
              <w:t>It was agreed to include a final step of signing the contract, to highlight the length of time this can take.</w:t>
            </w:r>
          </w:p>
          <w:p w:rsidR="004F6F50" w:rsidRDefault="004F6F50" w:rsidP="004F6F50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Sample PPA link</w:t>
            </w:r>
          </w:p>
          <w:p w:rsidR="004F6F50" w:rsidRPr="00982787" w:rsidRDefault="004F6F50" w:rsidP="004F6F50">
            <w:pPr>
              <w:pStyle w:val="ListParagraph"/>
              <w:numPr>
                <w:ilvl w:val="0"/>
                <w:numId w:val="37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The group agreed to rethink what this link might include once the other working group on the PPA contract has finalised products. </w:t>
            </w:r>
          </w:p>
        </w:tc>
      </w:tr>
      <w:tr w:rsidR="002165A9" w:rsidRPr="002165A9" w:rsidTr="00605714">
        <w:trPr>
          <w:trHeight w:val="463"/>
        </w:trPr>
        <w:tc>
          <w:tcPr>
            <w:tcW w:w="493" w:type="dxa"/>
            <w:shd w:val="clear" w:color="auto" w:fill="FFFFFF"/>
          </w:tcPr>
          <w:p w:rsidR="002165A9" w:rsidRPr="002165A9" w:rsidRDefault="002165A9" w:rsidP="0083401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26" w:hanging="42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shd w:val="clear" w:color="auto" w:fill="FFFFFF"/>
          </w:tcPr>
          <w:p w:rsidR="002165A9" w:rsidRPr="002165A9" w:rsidRDefault="007E4175" w:rsidP="002165A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Steering board recommendation: Reporting</w:t>
            </w:r>
          </w:p>
        </w:tc>
        <w:tc>
          <w:tcPr>
            <w:tcW w:w="5993" w:type="dxa"/>
            <w:gridSpan w:val="3"/>
            <w:shd w:val="clear" w:color="auto" w:fill="FFFFFF"/>
          </w:tcPr>
          <w:p w:rsidR="002165A9" w:rsidRPr="002165A9" w:rsidRDefault="00B9059F" w:rsidP="0083401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Draft discussion paper on reporting options</w:t>
            </w:r>
          </w:p>
        </w:tc>
        <w:tc>
          <w:tcPr>
            <w:tcW w:w="1202" w:type="dxa"/>
            <w:shd w:val="clear" w:color="auto" w:fill="FFFFFF"/>
          </w:tcPr>
          <w:p w:rsidR="002165A9" w:rsidRPr="002165A9" w:rsidRDefault="00B9059F" w:rsidP="0083401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Matt Coyne</w:t>
            </w:r>
          </w:p>
        </w:tc>
      </w:tr>
      <w:tr w:rsidR="00657DA3" w:rsidRPr="002165A9" w:rsidTr="00D27B44">
        <w:trPr>
          <w:trHeight w:val="841"/>
        </w:trPr>
        <w:tc>
          <w:tcPr>
            <w:tcW w:w="10808" w:type="dxa"/>
            <w:gridSpan w:val="7"/>
            <w:shd w:val="clear" w:color="auto" w:fill="FFFFFF"/>
          </w:tcPr>
          <w:p w:rsidR="00AE2F4D" w:rsidRDefault="00DE5E97" w:rsidP="004F6F50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Matt Coyne gave feedback from the steering board about the possibility of introducing a reporting function to support the best practice guidelines</w:t>
            </w:r>
            <w:r w:rsidR="00255D98">
              <w:rPr>
                <w:rFonts w:ascii="Arial" w:hAnsi="Arial" w:cs="Arial"/>
                <w:sz w:val="24"/>
                <w:szCs w:val="24"/>
              </w:rPr>
              <w:t xml:space="preserve"> and provide DECC &amp; the regulator with data on the PPA market</w:t>
            </w:r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255D98">
              <w:rPr>
                <w:rFonts w:ascii="Arial" w:hAnsi="Arial" w:cs="Arial"/>
                <w:sz w:val="24"/>
                <w:szCs w:val="24"/>
              </w:rPr>
              <w:t xml:space="preserve">This would be used to monitor the market to assess the effectiveness of EMR and </w:t>
            </w:r>
            <w:r w:rsidR="00AE2F4D">
              <w:rPr>
                <w:rFonts w:ascii="Arial" w:hAnsi="Arial" w:cs="Arial"/>
                <w:sz w:val="24"/>
                <w:szCs w:val="24"/>
              </w:rPr>
              <w:t xml:space="preserve">anticipate any potential issues. </w:t>
            </w:r>
            <w:r w:rsidR="00FD66F4">
              <w:rPr>
                <w:rFonts w:ascii="Arial" w:hAnsi="Arial" w:cs="Arial"/>
                <w:sz w:val="24"/>
                <w:szCs w:val="24"/>
              </w:rPr>
              <w:t xml:space="preserve"> It would not be put into the public domain.</w:t>
            </w:r>
          </w:p>
          <w:p w:rsidR="00743826" w:rsidRDefault="00AE2F4D" w:rsidP="004F6F50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</w:t>
            </w:r>
            <w:r w:rsidR="00DE5E97">
              <w:rPr>
                <w:rFonts w:ascii="Arial" w:hAnsi="Arial" w:cs="Arial"/>
                <w:sz w:val="24"/>
                <w:szCs w:val="24"/>
              </w:rPr>
              <w:t xml:space="preserve"> group </w:t>
            </w:r>
            <w:r>
              <w:rPr>
                <w:rFonts w:ascii="Arial" w:hAnsi="Arial" w:cs="Arial"/>
                <w:sz w:val="24"/>
                <w:szCs w:val="24"/>
              </w:rPr>
              <w:t xml:space="preserve">was presented </w:t>
            </w:r>
            <w:r w:rsidR="00DE5E97">
              <w:rPr>
                <w:rFonts w:ascii="Arial" w:hAnsi="Arial" w:cs="Arial"/>
                <w:sz w:val="24"/>
                <w:szCs w:val="24"/>
              </w:rPr>
              <w:t xml:space="preserve">with a short justification for a reporting function and </w:t>
            </w:r>
            <w:r>
              <w:rPr>
                <w:rFonts w:ascii="Arial" w:hAnsi="Arial" w:cs="Arial"/>
                <w:sz w:val="24"/>
                <w:szCs w:val="24"/>
              </w:rPr>
              <w:t>shown</w:t>
            </w:r>
            <w:r w:rsidR="00DE5E97">
              <w:rPr>
                <w:rFonts w:ascii="Arial" w:hAnsi="Arial" w:cs="Arial"/>
                <w:sz w:val="24"/>
                <w:szCs w:val="24"/>
              </w:rPr>
              <w:t xml:space="preserve"> 3 </w:t>
            </w:r>
            <w:r>
              <w:rPr>
                <w:rFonts w:ascii="Arial" w:hAnsi="Arial" w:cs="Arial"/>
                <w:sz w:val="24"/>
                <w:szCs w:val="24"/>
              </w:rPr>
              <w:t xml:space="preserve">possible </w:t>
            </w:r>
            <w:r w:rsidR="00DE5E97">
              <w:rPr>
                <w:rFonts w:ascii="Arial" w:hAnsi="Arial" w:cs="Arial"/>
                <w:sz w:val="24"/>
                <w:szCs w:val="24"/>
              </w:rPr>
              <w:t xml:space="preserve">options which could be deployed separately or in some </w:t>
            </w:r>
            <w:r w:rsidR="00255D98">
              <w:rPr>
                <w:rFonts w:ascii="Arial" w:hAnsi="Arial" w:cs="Arial"/>
                <w:sz w:val="24"/>
                <w:szCs w:val="24"/>
              </w:rPr>
              <w:t xml:space="preserve">combination, all requiring varying details of contract activity and negotiations. </w:t>
            </w:r>
          </w:p>
          <w:p w:rsidR="00255D98" w:rsidRDefault="00255D98" w:rsidP="00AE2F4D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There was a group discussion on the </w:t>
            </w:r>
            <w:r w:rsidR="00AE2F4D">
              <w:rPr>
                <w:rFonts w:ascii="Arial" w:hAnsi="Arial" w:cs="Arial"/>
                <w:sz w:val="24"/>
                <w:szCs w:val="24"/>
              </w:rPr>
              <w:t>purpose of</w:t>
            </w:r>
            <w:r>
              <w:rPr>
                <w:rFonts w:ascii="Arial" w:hAnsi="Arial" w:cs="Arial"/>
                <w:sz w:val="24"/>
                <w:szCs w:val="24"/>
              </w:rPr>
              <w:t xml:space="preserve"> reporting – members </w:t>
            </w:r>
            <w:r w:rsidR="00AE2F4D">
              <w:rPr>
                <w:rFonts w:ascii="Arial" w:hAnsi="Arial" w:cs="Arial"/>
                <w:sz w:val="24"/>
                <w:szCs w:val="24"/>
              </w:rPr>
              <w:t>questioned what data</w:t>
            </w:r>
            <w:r>
              <w:rPr>
                <w:rFonts w:ascii="Arial" w:hAnsi="Arial" w:cs="Arial"/>
                <w:sz w:val="24"/>
                <w:szCs w:val="24"/>
              </w:rPr>
              <w:t xml:space="preserve"> might be used for and by whom. They agreed that the level of detail </w:t>
            </w:r>
            <w:r w:rsidR="00AE2F4D">
              <w:rPr>
                <w:rFonts w:ascii="Arial" w:hAnsi="Arial" w:cs="Arial"/>
                <w:sz w:val="24"/>
                <w:szCs w:val="24"/>
              </w:rPr>
              <w:t xml:space="preserve">needed </w:t>
            </w:r>
            <w:r>
              <w:rPr>
                <w:rFonts w:ascii="Arial" w:hAnsi="Arial" w:cs="Arial"/>
                <w:sz w:val="24"/>
                <w:szCs w:val="24"/>
              </w:rPr>
              <w:t>would depend on the overall objective of a reporting function. More generally, the group discussed the need for any function to be eas</w:t>
            </w:r>
            <w:r w:rsidR="00AE2F4D">
              <w:rPr>
                <w:rFonts w:ascii="Arial" w:hAnsi="Arial" w:cs="Arial"/>
                <w:sz w:val="24"/>
                <w:szCs w:val="24"/>
              </w:rPr>
              <w:t>y to understand and accessible</w:t>
            </w:r>
            <w:r>
              <w:rPr>
                <w:rFonts w:ascii="Arial" w:hAnsi="Arial" w:cs="Arial"/>
                <w:sz w:val="24"/>
                <w:szCs w:val="24"/>
              </w:rPr>
              <w:t xml:space="preserve">, and </w:t>
            </w:r>
            <w:r w:rsidR="00AE2F4D">
              <w:rPr>
                <w:rFonts w:ascii="Arial" w:hAnsi="Arial" w:cs="Arial"/>
                <w:sz w:val="24"/>
                <w:szCs w:val="24"/>
              </w:rPr>
              <w:t xml:space="preserve">agreed that </w:t>
            </w:r>
            <w:r>
              <w:rPr>
                <w:rFonts w:ascii="Arial" w:hAnsi="Arial" w:cs="Arial"/>
                <w:sz w:val="24"/>
                <w:szCs w:val="24"/>
              </w:rPr>
              <w:t xml:space="preserve">it may be beneficial to have continuous data collection rather than brief snapshots of the PPA market. </w:t>
            </w:r>
          </w:p>
          <w:p w:rsidR="00AE2F4D" w:rsidRDefault="00AE2F4D" w:rsidP="00AE2F4D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The group also noted that the monitoring of the CfD mechanism may provide </w:t>
            </w:r>
            <w:r w:rsidR="00FD66F4">
              <w:rPr>
                <w:rFonts w:ascii="Arial" w:hAnsi="Arial" w:cs="Arial"/>
                <w:sz w:val="24"/>
                <w:szCs w:val="24"/>
              </w:rPr>
              <w:t>better</w:t>
            </w:r>
            <w:r>
              <w:rPr>
                <w:rFonts w:ascii="Arial" w:hAnsi="Arial" w:cs="Arial"/>
                <w:sz w:val="24"/>
                <w:szCs w:val="24"/>
              </w:rPr>
              <w:t xml:space="preserve"> data to suitably assess the state of the PPA market under EMR, as </w:t>
            </w:r>
            <w:r w:rsidR="00FD66F4">
              <w:rPr>
                <w:rFonts w:ascii="Arial" w:hAnsi="Arial" w:cs="Arial"/>
                <w:sz w:val="24"/>
                <w:szCs w:val="24"/>
              </w:rPr>
              <w:t xml:space="preserve">it would cover all generation, while relying on a voluntary code of practice would introduce gaps in coverage.  A further indication of the health of the market could be gleaned from </w:t>
            </w:r>
            <w:r>
              <w:rPr>
                <w:rFonts w:ascii="Arial" w:hAnsi="Arial" w:cs="Arial"/>
                <w:sz w:val="24"/>
                <w:szCs w:val="24"/>
              </w:rPr>
              <w:t xml:space="preserve">the </w:t>
            </w:r>
            <w:r w:rsidR="00B9059F">
              <w:rPr>
                <w:rFonts w:ascii="Arial" w:hAnsi="Arial" w:cs="Arial"/>
                <w:sz w:val="24"/>
                <w:szCs w:val="24"/>
              </w:rPr>
              <w:t xml:space="preserve">number of interested parties applying for the offtaker of last resort </w:t>
            </w:r>
            <w:r w:rsidR="00FD66F4">
              <w:rPr>
                <w:rFonts w:ascii="Arial" w:hAnsi="Arial" w:cs="Arial"/>
                <w:sz w:val="24"/>
                <w:szCs w:val="24"/>
              </w:rPr>
              <w:t>scheme.</w:t>
            </w:r>
          </w:p>
          <w:p w:rsidR="00B9059F" w:rsidRDefault="00B9059F" w:rsidP="00AE2F4D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The group also agreed that there may be significant confidentiality or commercially sensitive issues with reporting, but agreed to consider the options in more detail. </w:t>
            </w:r>
          </w:p>
          <w:p w:rsidR="00B9059F" w:rsidRPr="00982787" w:rsidRDefault="00B9059F" w:rsidP="000D12AB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 w:rsidRPr="00B9059F">
              <w:rPr>
                <w:rFonts w:ascii="Arial" w:hAnsi="Arial" w:cs="Arial"/>
                <w:b/>
                <w:sz w:val="24"/>
                <w:szCs w:val="24"/>
              </w:rPr>
              <w:t>Action</w:t>
            </w:r>
            <w:r>
              <w:rPr>
                <w:rFonts w:ascii="Arial" w:hAnsi="Arial" w:cs="Arial"/>
                <w:sz w:val="24"/>
                <w:szCs w:val="24"/>
              </w:rPr>
              <w:t xml:space="preserve">: Group to </w:t>
            </w:r>
            <w:r w:rsidR="000D12AB">
              <w:rPr>
                <w:rFonts w:ascii="Arial" w:hAnsi="Arial" w:cs="Arial"/>
                <w:sz w:val="24"/>
                <w:szCs w:val="24"/>
              </w:rPr>
              <w:t xml:space="preserve">take away possibilities for </w:t>
            </w:r>
            <w:r>
              <w:rPr>
                <w:rFonts w:ascii="Arial" w:hAnsi="Arial" w:cs="Arial"/>
                <w:sz w:val="24"/>
                <w:szCs w:val="24"/>
              </w:rPr>
              <w:t xml:space="preserve">reporting proposals for further consideration. </w:t>
            </w:r>
            <w:r w:rsidR="000D12AB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DECC to </w:t>
            </w:r>
            <w:r w:rsidR="00E052B7">
              <w:rPr>
                <w:rFonts w:ascii="Arial" w:hAnsi="Arial" w:cs="Arial"/>
                <w:sz w:val="24"/>
                <w:szCs w:val="24"/>
              </w:rPr>
              <w:t xml:space="preserve">consider further the rationale for a reporting mechanism and to </w:t>
            </w:r>
            <w:r>
              <w:rPr>
                <w:rFonts w:ascii="Arial" w:hAnsi="Arial" w:cs="Arial"/>
                <w:sz w:val="24"/>
                <w:szCs w:val="24"/>
              </w:rPr>
              <w:t xml:space="preserve">consider whether </w:t>
            </w:r>
            <w:r w:rsidR="00E052B7">
              <w:rPr>
                <w:rFonts w:ascii="Arial" w:hAnsi="Arial" w:cs="Arial"/>
                <w:sz w:val="24"/>
                <w:szCs w:val="24"/>
              </w:rPr>
              <w:t xml:space="preserve">the </w:t>
            </w:r>
            <w:r>
              <w:rPr>
                <w:rFonts w:ascii="Arial" w:hAnsi="Arial" w:cs="Arial"/>
                <w:sz w:val="24"/>
                <w:szCs w:val="24"/>
              </w:rPr>
              <w:t>CfD mechanism would provide sufficient data</w:t>
            </w:r>
            <w:r w:rsidR="00E052B7">
              <w:rPr>
                <w:rFonts w:ascii="Arial" w:hAnsi="Arial" w:cs="Arial"/>
                <w:sz w:val="24"/>
                <w:szCs w:val="24"/>
              </w:rPr>
              <w:t xml:space="preserve"> for the purpose</w:t>
            </w:r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</w:tc>
      </w:tr>
      <w:tr w:rsidR="00D148AC" w:rsidRPr="002165A9" w:rsidTr="00C844C2">
        <w:trPr>
          <w:trHeight w:val="297"/>
        </w:trPr>
        <w:tc>
          <w:tcPr>
            <w:tcW w:w="534" w:type="dxa"/>
            <w:gridSpan w:val="2"/>
            <w:shd w:val="clear" w:color="auto" w:fill="FFFFFF"/>
          </w:tcPr>
          <w:p w:rsidR="00D148AC" w:rsidRPr="002165A9" w:rsidRDefault="00D148AC" w:rsidP="00742B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shd w:val="clear" w:color="auto" w:fill="FFFFFF"/>
          </w:tcPr>
          <w:p w:rsidR="00D148AC" w:rsidRPr="002165A9" w:rsidRDefault="00FD0D29" w:rsidP="00261FA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165A9">
              <w:rPr>
                <w:rFonts w:ascii="Arial" w:hAnsi="Arial" w:cs="Arial"/>
                <w:b/>
                <w:sz w:val="24"/>
                <w:szCs w:val="24"/>
              </w:rPr>
              <w:t xml:space="preserve">Next </w:t>
            </w:r>
            <w:r w:rsidR="00261FA9">
              <w:rPr>
                <w:rFonts w:ascii="Arial" w:hAnsi="Arial" w:cs="Arial"/>
                <w:b/>
                <w:sz w:val="24"/>
                <w:szCs w:val="24"/>
              </w:rPr>
              <w:t>steps</w:t>
            </w:r>
            <w:r w:rsidRPr="002165A9">
              <w:rPr>
                <w:rFonts w:ascii="Arial" w:hAnsi="Arial" w:cs="Arial"/>
                <w:b/>
                <w:sz w:val="24"/>
                <w:szCs w:val="24"/>
              </w:rPr>
              <w:t xml:space="preserve"> &amp; AOB</w:t>
            </w:r>
          </w:p>
        </w:tc>
        <w:tc>
          <w:tcPr>
            <w:tcW w:w="4394" w:type="dxa"/>
            <w:shd w:val="clear" w:color="auto" w:fill="FFFFFF"/>
          </w:tcPr>
          <w:p w:rsidR="00D148AC" w:rsidRPr="002165A9" w:rsidRDefault="00FF2CD5" w:rsidP="00742B23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2165A9">
              <w:rPr>
                <w:rFonts w:ascii="Arial" w:hAnsi="Arial" w:cs="Arial"/>
                <w:b/>
                <w:sz w:val="24"/>
                <w:szCs w:val="24"/>
              </w:rPr>
              <w:t>No papers</w:t>
            </w:r>
          </w:p>
        </w:tc>
        <w:tc>
          <w:tcPr>
            <w:tcW w:w="1560" w:type="dxa"/>
            <w:shd w:val="clear" w:color="auto" w:fill="FFFFFF"/>
          </w:tcPr>
          <w:p w:rsidR="00D148AC" w:rsidRPr="002165A9" w:rsidRDefault="00D148AC" w:rsidP="00742B23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02" w:type="dxa"/>
            <w:shd w:val="clear" w:color="auto" w:fill="FFFFFF"/>
          </w:tcPr>
          <w:p w:rsidR="00D148AC" w:rsidRPr="002165A9" w:rsidRDefault="00D148AC" w:rsidP="00F93BF4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10DFB" w:rsidRPr="002165A9" w:rsidTr="00C844C2">
        <w:trPr>
          <w:trHeight w:val="297"/>
        </w:trPr>
        <w:tc>
          <w:tcPr>
            <w:tcW w:w="10808" w:type="dxa"/>
            <w:gridSpan w:val="7"/>
            <w:shd w:val="clear" w:color="auto" w:fill="FFFFFF"/>
          </w:tcPr>
          <w:p w:rsidR="0020781B" w:rsidRPr="002165A9" w:rsidRDefault="0020781B" w:rsidP="0020781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165A9" w:rsidRPr="002165A9" w:rsidRDefault="002165A9" w:rsidP="002165A9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2165A9">
              <w:rPr>
                <w:rFonts w:ascii="Arial" w:hAnsi="Arial" w:cs="Arial"/>
                <w:sz w:val="24"/>
                <w:szCs w:val="24"/>
                <w:u w:val="single"/>
              </w:rPr>
              <w:t>Next Steps</w:t>
            </w:r>
          </w:p>
          <w:p w:rsidR="00B9059F" w:rsidRDefault="00B9059F" w:rsidP="002165A9">
            <w:pPr>
              <w:pStyle w:val="ListParagraph"/>
              <w:numPr>
                <w:ilvl w:val="0"/>
                <w:numId w:val="36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Group to consider </w:t>
            </w:r>
            <w:r w:rsidR="000D12AB">
              <w:rPr>
                <w:rFonts w:ascii="Arial" w:hAnsi="Arial" w:cs="Arial"/>
                <w:sz w:val="24"/>
                <w:szCs w:val="24"/>
              </w:rPr>
              <w:t>possibilities for reporting</w:t>
            </w:r>
          </w:p>
          <w:p w:rsidR="00B9059F" w:rsidRDefault="00B9059F" w:rsidP="002165A9">
            <w:pPr>
              <w:pStyle w:val="ListParagraph"/>
              <w:numPr>
                <w:ilvl w:val="0"/>
                <w:numId w:val="36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DECC to redraft Best Practice Guidelines based on feedback and circulate more widely to invite comments. </w:t>
            </w:r>
          </w:p>
          <w:p w:rsidR="00A12F9B" w:rsidRPr="002165A9" w:rsidRDefault="00A12F9B" w:rsidP="00B9059F">
            <w:pPr>
              <w:rPr>
                <w:rFonts w:ascii="Arial" w:hAnsi="Arial" w:cs="Arial"/>
                <w:sz w:val="24"/>
                <w:szCs w:val="24"/>
              </w:rPr>
            </w:pPr>
            <w:r w:rsidRPr="002165A9">
              <w:rPr>
                <w:rFonts w:ascii="Arial" w:hAnsi="Arial" w:cs="Arial"/>
                <w:sz w:val="24"/>
                <w:szCs w:val="24"/>
              </w:rPr>
              <w:t xml:space="preserve">Next meeting is scheduled for </w:t>
            </w:r>
            <w:r w:rsidR="00B9059F">
              <w:rPr>
                <w:rFonts w:ascii="Arial" w:hAnsi="Arial" w:cs="Arial"/>
                <w:sz w:val="24"/>
                <w:szCs w:val="24"/>
              </w:rPr>
              <w:t>15 October</w:t>
            </w:r>
            <w:r w:rsidR="00261FA9">
              <w:rPr>
                <w:rFonts w:ascii="Arial" w:hAnsi="Arial" w:cs="Arial"/>
                <w:sz w:val="24"/>
                <w:szCs w:val="24"/>
              </w:rPr>
              <w:t xml:space="preserve"> – further details will be circulated in advance.</w:t>
            </w:r>
          </w:p>
        </w:tc>
      </w:tr>
    </w:tbl>
    <w:p w:rsidR="002425BB" w:rsidRPr="002165A9" w:rsidRDefault="002425BB" w:rsidP="00EA68C3">
      <w:pPr>
        <w:pStyle w:val="ListParagraph"/>
        <w:spacing w:line="240" w:lineRule="auto"/>
        <w:ind w:left="0"/>
        <w:rPr>
          <w:rFonts w:ascii="Arial" w:hAnsi="Arial" w:cs="Arial"/>
          <w:sz w:val="24"/>
          <w:szCs w:val="24"/>
        </w:rPr>
      </w:pPr>
    </w:p>
    <w:p w:rsidR="00E438EB" w:rsidRPr="002165A9" w:rsidRDefault="00E438EB" w:rsidP="00EA68C3">
      <w:pPr>
        <w:pStyle w:val="ListParagraph"/>
        <w:spacing w:line="240" w:lineRule="auto"/>
        <w:ind w:left="0"/>
        <w:rPr>
          <w:rFonts w:ascii="Arial" w:hAnsi="Arial" w:cs="Arial"/>
          <w:sz w:val="24"/>
          <w:szCs w:val="24"/>
        </w:rPr>
      </w:pPr>
    </w:p>
    <w:sectPr w:rsidR="00E438EB" w:rsidRPr="002165A9" w:rsidSect="00F36717">
      <w:headerReference w:type="default" r:id="rId9"/>
      <w:type w:val="continuous"/>
      <w:pgSz w:w="11906" w:h="16838" w:code="9"/>
      <w:pgMar w:top="1440" w:right="1440" w:bottom="144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4EDB" w:rsidRDefault="00E74EDB" w:rsidP="0089146C">
      <w:pPr>
        <w:spacing w:after="0" w:line="240" w:lineRule="auto"/>
      </w:pPr>
      <w:r>
        <w:separator/>
      </w:r>
    </w:p>
  </w:endnote>
  <w:endnote w:type="continuationSeparator" w:id="0">
    <w:p w:rsidR="00E74EDB" w:rsidRDefault="00E74EDB" w:rsidP="008914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4EDB" w:rsidRDefault="00E74EDB" w:rsidP="0089146C">
      <w:pPr>
        <w:spacing w:after="0" w:line="240" w:lineRule="auto"/>
      </w:pPr>
      <w:r>
        <w:separator/>
      </w:r>
    </w:p>
  </w:footnote>
  <w:footnote w:type="continuationSeparator" w:id="0">
    <w:p w:rsidR="00E74EDB" w:rsidRDefault="00E74EDB" w:rsidP="008914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D91" w:rsidRPr="00DA55BD" w:rsidRDefault="00E14D91" w:rsidP="001E77F6">
    <w:pPr>
      <w:pStyle w:val="Header"/>
      <w:tabs>
        <w:tab w:val="left" w:pos="2475"/>
      </w:tabs>
      <w:rPr>
        <w:rFonts w:ascii="Arial" w:hAnsi="Arial" w:cs="Arial"/>
        <w:b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A4AC4"/>
    <w:multiLevelType w:val="hybridMultilevel"/>
    <w:tmpl w:val="C5F4D3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70473"/>
    <w:multiLevelType w:val="hybridMultilevel"/>
    <w:tmpl w:val="D340CB4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71317FD"/>
    <w:multiLevelType w:val="hybridMultilevel"/>
    <w:tmpl w:val="ED8834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6D10BA"/>
    <w:multiLevelType w:val="hybridMultilevel"/>
    <w:tmpl w:val="C8B668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B76EAA"/>
    <w:multiLevelType w:val="hybridMultilevel"/>
    <w:tmpl w:val="6DD04A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DC09B1"/>
    <w:multiLevelType w:val="hybridMultilevel"/>
    <w:tmpl w:val="0FE05A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9D6CA0"/>
    <w:multiLevelType w:val="hybridMultilevel"/>
    <w:tmpl w:val="053E8D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3D6A9A"/>
    <w:multiLevelType w:val="hybridMultilevel"/>
    <w:tmpl w:val="D076BF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937CAF"/>
    <w:multiLevelType w:val="hybridMultilevel"/>
    <w:tmpl w:val="02D400D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2F7078"/>
    <w:multiLevelType w:val="hybridMultilevel"/>
    <w:tmpl w:val="0B2E22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AA6ADF"/>
    <w:multiLevelType w:val="hybridMultilevel"/>
    <w:tmpl w:val="9AC29AD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0F">
      <w:start w:val="1"/>
      <w:numFmt w:val="decimal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4ED4B70"/>
    <w:multiLevelType w:val="hybridMultilevel"/>
    <w:tmpl w:val="9A02EF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E9778B"/>
    <w:multiLevelType w:val="hybridMultilevel"/>
    <w:tmpl w:val="B91E25B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B20E1D"/>
    <w:multiLevelType w:val="hybridMultilevel"/>
    <w:tmpl w:val="27DA64C4"/>
    <w:lvl w:ilvl="0" w:tplc="0F48A9E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0D6A28"/>
    <w:multiLevelType w:val="hybridMultilevel"/>
    <w:tmpl w:val="AADC62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711EF6"/>
    <w:multiLevelType w:val="hybridMultilevel"/>
    <w:tmpl w:val="107E06C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3D3A85"/>
    <w:multiLevelType w:val="hybridMultilevel"/>
    <w:tmpl w:val="6400EF9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093974"/>
    <w:multiLevelType w:val="hybridMultilevel"/>
    <w:tmpl w:val="AF68AD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AC0333"/>
    <w:multiLevelType w:val="hybridMultilevel"/>
    <w:tmpl w:val="DF5EC4F8"/>
    <w:lvl w:ilvl="0" w:tplc="08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DDC2E2F"/>
    <w:multiLevelType w:val="hybridMultilevel"/>
    <w:tmpl w:val="1958B7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F6F2585"/>
    <w:multiLevelType w:val="hybridMultilevel"/>
    <w:tmpl w:val="88443C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847031"/>
    <w:multiLevelType w:val="hybridMultilevel"/>
    <w:tmpl w:val="A00ED8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4448CA"/>
    <w:multiLevelType w:val="hybridMultilevel"/>
    <w:tmpl w:val="4176BCB8"/>
    <w:lvl w:ilvl="0" w:tplc="0809000F">
      <w:start w:val="1"/>
      <w:numFmt w:val="decimal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>
    <w:nsid w:val="542A0952"/>
    <w:multiLevelType w:val="hybridMultilevel"/>
    <w:tmpl w:val="13AAE86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6AD687C"/>
    <w:multiLevelType w:val="hybridMultilevel"/>
    <w:tmpl w:val="45AA024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A715ED2"/>
    <w:multiLevelType w:val="hybridMultilevel"/>
    <w:tmpl w:val="E7D8EF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A9E2CA9"/>
    <w:multiLevelType w:val="hybridMultilevel"/>
    <w:tmpl w:val="6ED202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C2C3FD0"/>
    <w:multiLevelType w:val="hybridMultilevel"/>
    <w:tmpl w:val="91CA62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72477B"/>
    <w:multiLevelType w:val="hybridMultilevel"/>
    <w:tmpl w:val="EE141776"/>
    <w:lvl w:ilvl="0" w:tplc="0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5FA93271"/>
    <w:multiLevelType w:val="hybridMultilevel"/>
    <w:tmpl w:val="3B4079E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2D721EC"/>
    <w:multiLevelType w:val="hybridMultilevel"/>
    <w:tmpl w:val="091A83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77678FC"/>
    <w:multiLevelType w:val="hybridMultilevel"/>
    <w:tmpl w:val="6FEC43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FE154A0"/>
    <w:multiLevelType w:val="hybridMultilevel"/>
    <w:tmpl w:val="F74CD3A2"/>
    <w:lvl w:ilvl="0" w:tplc="690EC3DE">
      <w:start w:val="1"/>
      <w:numFmt w:val="decimal"/>
      <w:pStyle w:val="Numberedparas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52319BD"/>
    <w:multiLevelType w:val="hybridMultilevel"/>
    <w:tmpl w:val="174886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BED14A8"/>
    <w:multiLevelType w:val="hybridMultilevel"/>
    <w:tmpl w:val="57CA43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E246F6A"/>
    <w:multiLevelType w:val="hybridMultilevel"/>
    <w:tmpl w:val="55AE63B8"/>
    <w:lvl w:ilvl="0" w:tplc="77AEE9A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E500E6B"/>
    <w:multiLevelType w:val="hybridMultilevel"/>
    <w:tmpl w:val="B5144AD6"/>
    <w:lvl w:ilvl="0" w:tplc="F460B62E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2"/>
  </w:num>
  <w:num w:numId="3">
    <w:abstractNumId w:val="2"/>
  </w:num>
  <w:num w:numId="4">
    <w:abstractNumId w:val="18"/>
  </w:num>
  <w:num w:numId="5">
    <w:abstractNumId w:val="0"/>
  </w:num>
  <w:num w:numId="6">
    <w:abstractNumId w:val="14"/>
  </w:num>
  <w:num w:numId="7">
    <w:abstractNumId w:val="28"/>
  </w:num>
  <w:num w:numId="8">
    <w:abstractNumId w:val="8"/>
  </w:num>
  <w:num w:numId="9">
    <w:abstractNumId w:val="23"/>
  </w:num>
  <w:num w:numId="10">
    <w:abstractNumId w:val="1"/>
  </w:num>
  <w:num w:numId="11">
    <w:abstractNumId w:val="22"/>
  </w:num>
  <w:num w:numId="12">
    <w:abstractNumId w:val="24"/>
  </w:num>
  <w:num w:numId="13">
    <w:abstractNumId w:val="36"/>
  </w:num>
  <w:num w:numId="14">
    <w:abstractNumId w:val="15"/>
  </w:num>
  <w:num w:numId="15">
    <w:abstractNumId w:val="35"/>
  </w:num>
  <w:num w:numId="16">
    <w:abstractNumId w:val="21"/>
  </w:num>
  <w:num w:numId="17">
    <w:abstractNumId w:val="19"/>
  </w:num>
  <w:num w:numId="18">
    <w:abstractNumId w:val="16"/>
  </w:num>
  <w:num w:numId="19">
    <w:abstractNumId w:val="10"/>
  </w:num>
  <w:num w:numId="20">
    <w:abstractNumId w:val="29"/>
  </w:num>
  <w:num w:numId="21">
    <w:abstractNumId w:val="33"/>
  </w:num>
  <w:num w:numId="22">
    <w:abstractNumId w:val="6"/>
  </w:num>
  <w:num w:numId="23">
    <w:abstractNumId w:val="27"/>
  </w:num>
  <w:num w:numId="24">
    <w:abstractNumId w:val="17"/>
  </w:num>
  <w:num w:numId="25">
    <w:abstractNumId w:val="3"/>
  </w:num>
  <w:num w:numId="26">
    <w:abstractNumId w:val="30"/>
  </w:num>
  <w:num w:numId="27">
    <w:abstractNumId w:val="4"/>
  </w:num>
  <w:num w:numId="28">
    <w:abstractNumId w:val="9"/>
  </w:num>
  <w:num w:numId="29">
    <w:abstractNumId w:val="5"/>
  </w:num>
  <w:num w:numId="30">
    <w:abstractNumId w:val="34"/>
  </w:num>
  <w:num w:numId="31">
    <w:abstractNumId w:val="12"/>
  </w:num>
  <w:num w:numId="32">
    <w:abstractNumId w:val="31"/>
  </w:num>
  <w:num w:numId="33">
    <w:abstractNumId w:val="26"/>
  </w:num>
  <w:num w:numId="34">
    <w:abstractNumId w:val="7"/>
  </w:num>
  <w:num w:numId="35">
    <w:abstractNumId w:val="11"/>
  </w:num>
  <w:num w:numId="36">
    <w:abstractNumId w:val="20"/>
  </w:num>
  <w:num w:numId="37">
    <w:abstractNumId w:val="2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TrackMoves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4438"/>
    <w:rsid w:val="000026FB"/>
    <w:rsid w:val="000047D4"/>
    <w:rsid w:val="000062F8"/>
    <w:rsid w:val="000078C7"/>
    <w:rsid w:val="00014717"/>
    <w:rsid w:val="00017838"/>
    <w:rsid w:val="000222BB"/>
    <w:rsid w:val="00025060"/>
    <w:rsid w:val="0003021A"/>
    <w:rsid w:val="00033EC0"/>
    <w:rsid w:val="000368FD"/>
    <w:rsid w:val="000416D6"/>
    <w:rsid w:val="000422D9"/>
    <w:rsid w:val="00045944"/>
    <w:rsid w:val="00045A92"/>
    <w:rsid w:val="00046081"/>
    <w:rsid w:val="000516F8"/>
    <w:rsid w:val="000550B9"/>
    <w:rsid w:val="00055CC1"/>
    <w:rsid w:val="00055E31"/>
    <w:rsid w:val="00060E39"/>
    <w:rsid w:val="000650C8"/>
    <w:rsid w:val="000651A6"/>
    <w:rsid w:val="000674AA"/>
    <w:rsid w:val="00067EC5"/>
    <w:rsid w:val="00072629"/>
    <w:rsid w:val="00076140"/>
    <w:rsid w:val="000774AD"/>
    <w:rsid w:val="00077943"/>
    <w:rsid w:val="00080906"/>
    <w:rsid w:val="0008256A"/>
    <w:rsid w:val="000878EC"/>
    <w:rsid w:val="00090D83"/>
    <w:rsid w:val="00093EAC"/>
    <w:rsid w:val="000A5712"/>
    <w:rsid w:val="000A6F69"/>
    <w:rsid w:val="000A758E"/>
    <w:rsid w:val="000B0B85"/>
    <w:rsid w:val="000B387D"/>
    <w:rsid w:val="000B5E66"/>
    <w:rsid w:val="000B7D53"/>
    <w:rsid w:val="000C098F"/>
    <w:rsid w:val="000C13A5"/>
    <w:rsid w:val="000C2F03"/>
    <w:rsid w:val="000C5351"/>
    <w:rsid w:val="000C6CB1"/>
    <w:rsid w:val="000D12AB"/>
    <w:rsid w:val="000D4955"/>
    <w:rsid w:val="000D529C"/>
    <w:rsid w:val="000E27D3"/>
    <w:rsid w:val="000E2A25"/>
    <w:rsid w:val="000E39B3"/>
    <w:rsid w:val="000E597D"/>
    <w:rsid w:val="000E6157"/>
    <w:rsid w:val="000E75EE"/>
    <w:rsid w:val="000F01D5"/>
    <w:rsid w:val="000F14A7"/>
    <w:rsid w:val="000F3024"/>
    <w:rsid w:val="000F4791"/>
    <w:rsid w:val="000F5812"/>
    <w:rsid w:val="000F67E0"/>
    <w:rsid w:val="00100029"/>
    <w:rsid w:val="00100B45"/>
    <w:rsid w:val="001019D9"/>
    <w:rsid w:val="00103D43"/>
    <w:rsid w:val="001057BC"/>
    <w:rsid w:val="001076FF"/>
    <w:rsid w:val="00122805"/>
    <w:rsid w:val="00127098"/>
    <w:rsid w:val="001274C8"/>
    <w:rsid w:val="00130E14"/>
    <w:rsid w:val="00131ACA"/>
    <w:rsid w:val="001365C0"/>
    <w:rsid w:val="00136BC2"/>
    <w:rsid w:val="00136CE7"/>
    <w:rsid w:val="001405E0"/>
    <w:rsid w:val="00141876"/>
    <w:rsid w:val="001418CA"/>
    <w:rsid w:val="001426F9"/>
    <w:rsid w:val="0014459B"/>
    <w:rsid w:val="00146015"/>
    <w:rsid w:val="00146542"/>
    <w:rsid w:val="00156981"/>
    <w:rsid w:val="00156FCA"/>
    <w:rsid w:val="00157032"/>
    <w:rsid w:val="00160404"/>
    <w:rsid w:val="00161379"/>
    <w:rsid w:val="00161A6C"/>
    <w:rsid w:val="00162983"/>
    <w:rsid w:val="00162F3A"/>
    <w:rsid w:val="001670DB"/>
    <w:rsid w:val="0017010A"/>
    <w:rsid w:val="00170A16"/>
    <w:rsid w:val="00171092"/>
    <w:rsid w:val="001735F2"/>
    <w:rsid w:val="0017401D"/>
    <w:rsid w:val="00176306"/>
    <w:rsid w:val="00181007"/>
    <w:rsid w:val="00183BF3"/>
    <w:rsid w:val="00185A9D"/>
    <w:rsid w:val="00185E3C"/>
    <w:rsid w:val="001925EF"/>
    <w:rsid w:val="00195A83"/>
    <w:rsid w:val="00195DFE"/>
    <w:rsid w:val="001B1DD4"/>
    <w:rsid w:val="001B26B2"/>
    <w:rsid w:val="001B5567"/>
    <w:rsid w:val="001B6866"/>
    <w:rsid w:val="001C27B2"/>
    <w:rsid w:val="001C7A41"/>
    <w:rsid w:val="001C7F0E"/>
    <w:rsid w:val="001E01DE"/>
    <w:rsid w:val="001E14C1"/>
    <w:rsid w:val="001E1813"/>
    <w:rsid w:val="001E3E9C"/>
    <w:rsid w:val="001E5465"/>
    <w:rsid w:val="001E77F6"/>
    <w:rsid w:val="001E7B3E"/>
    <w:rsid w:val="001F2806"/>
    <w:rsid w:val="00201071"/>
    <w:rsid w:val="00201EC0"/>
    <w:rsid w:val="00205ED6"/>
    <w:rsid w:val="0020781B"/>
    <w:rsid w:val="00213CF4"/>
    <w:rsid w:val="002141B0"/>
    <w:rsid w:val="002165A9"/>
    <w:rsid w:val="00216A7E"/>
    <w:rsid w:val="0022078A"/>
    <w:rsid w:val="0022140E"/>
    <w:rsid w:val="00221495"/>
    <w:rsid w:val="002215D6"/>
    <w:rsid w:val="0022740D"/>
    <w:rsid w:val="00230268"/>
    <w:rsid w:val="00233C3B"/>
    <w:rsid w:val="002340B7"/>
    <w:rsid w:val="00235148"/>
    <w:rsid w:val="00240BEB"/>
    <w:rsid w:val="00241758"/>
    <w:rsid w:val="00241DBE"/>
    <w:rsid w:val="002425BB"/>
    <w:rsid w:val="002435EB"/>
    <w:rsid w:val="00245908"/>
    <w:rsid w:val="00255D98"/>
    <w:rsid w:val="002560D5"/>
    <w:rsid w:val="00256F6F"/>
    <w:rsid w:val="00261FA9"/>
    <w:rsid w:val="0026264F"/>
    <w:rsid w:val="002633C0"/>
    <w:rsid w:val="00265C72"/>
    <w:rsid w:val="0026681C"/>
    <w:rsid w:val="00272A9A"/>
    <w:rsid w:val="002757B5"/>
    <w:rsid w:val="00277C93"/>
    <w:rsid w:val="00283B76"/>
    <w:rsid w:val="00286A5B"/>
    <w:rsid w:val="00286BFD"/>
    <w:rsid w:val="00292684"/>
    <w:rsid w:val="00292E94"/>
    <w:rsid w:val="0029348A"/>
    <w:rsid w:val="00293D86"/>
    <w:rsid w:val="00295572"/>
    <w:rsid w:val="002956A3"/>
    <w:rsid w:val="002A53B1"/>
    <w:rsid w:val="002A6273"/>
    <w:rsid w:val="002A7BCC"/>
    <w:rsid w:val="002B55FA"/>
    <w:rsid w:val="002B64E8"/>
    <w:rsid w:val="002B6FE9"/>
    <w:rsid w:val="002C003D"/>
    <w:rsid w:val="002C3136"/>
    <w:rsid w:val="002C3156"/>
    <w:rsid w:val="002C6955"/>
    <w:rsid w:val="002D12B4"/>
    <w:rsid w:val="002D481C"/>
    <w:rsid w:val="002E3060"/>
    <w:rsid w:val="002E3ABF"/>
    <w:rsid w:val="002E3EEF"/>
    <w:rsid w:val="002F02D4"/>
    <w:rsid w:val="002F05FB"/>
    <w:rsid w:val="002F0ABD"/>
    <w:rsid w:val="002F10B1"/>
    <w:rsid w:val="002F138C"/>
    <w:rsid w:val="002F186D"/>
    <w:rsid w:val="002F3617"/>
    <w:rsid w:val="002F3ABA"/>
    <w:rsid w:val="002F4EDB"/>
    <w:rsid w:val="002F5CE6"/>
    <w:rsid w:val="002F6D9F"/>
    <w:rsid w:val="00303A29"/>
    <w:rsid w:val="00305571"/>
    <w:rsid w:val="00306985"/>
    <w:rsid w:val="0031128E"/>
    <w:rsid w:val="00312AD9"/>
    <w:rsid w:val="003150D0"/>
    <w:rsid w:val="00317CB7"/>
    <w:rsid w:val="00320F4F"/>
    <w:rsid w:val="00321AED"/>
    <w:rsid w:val="0032673E"/>
    <w:rsid w:val="003314FA"/>
    <w:rsid w:val="00332B02"/>
    <w:rsid w:val="00341A4A"/>
    <w:rsid w:val="003447BE"/>
    <w:rsid w:val="003475A6"/>
    <w:rsid w:val="003538CB"/>
    <w:rsid w:val="00354DFC"/>
    <w:rsid w:val="00356A0D"/>
    <w:rsid w:val="00357DE9"/>
    <w:rsid w:val="00364090"/>
    <w:rsid w:val="00364790"/>
    <w:rsid w:val="00364BC0"/>
    <w:rsid w:val="00372309"/>
    <w:rsid w:val="00373FC6"/>
    <w:rsid w:val="003755FA"/>
    <w:rsid w:val="00375BBD"/>
    <w:rsid w:val="00385193"/>
    <w:rsid w:val="003865BA"/>
    <w:rsid w:val="00387043"/>
    <w:rsid w:val="003875F4"/>
    <w:rsid w:val="00392A6D"/>
    <w:rsid w:val="00392BAE"/>
    <w:rsid w:val="00393CC0"/>
    <w:rsid w:val="003A436F"/>
    <w:rsid w:val="003B0F6F"/>
    <w:rsid w:val="003B14A3"/>
    <w:rsid w:val="003B31FF"/>
    <w:rsid w:val="003B5F8E"/>
    <w:rsid w:val="003B6CA1"/>
    <w:rsid w:val="003C0795"/>
    <w:rsid w:val="003C0FF8"/>
    <w:rsid w:val="003C7089"/>
    <w:rsid w:val="003C733A"/>
    <w:rsid w:val="003D16FD"/>
    <w:rsid w:val="003D60FC"/>
    <w:rsid w:val="003E02E6"/>
    <w:rsid w:val="003E2144"/>
    <w:rsid w:val="003E3481"/>
    <w:rsid w:val="003E4B57"/>
    <w:rsid w:val="003F10E4"/>
    <w:rsid w:val="003F2D16"/>
    <w:rsid w:val="003F49E0"/>
    <w:rsid w:val="003F5187"/>
    <w:rsid w:val="003F5F68"/>
    <w:rsid w:val="003F6EA7"/>
    <w:rsid w:val="00401743"/>
    <w:rsid w:val="00402A27"/>
    <w:rsid w:val="00407509"/>
    <w:rsid w:val="00407CBB"/>
    <w:rsid w:val="0041318E"/>
    <w:rsid w:val="00413D3E"/>
    <w:rsid w:val="00414374"/>
    <w:rsid w:val="00414770"/>
    <w:rsid w:val="00415939"/>
    <w:rsid w:val="004339A6"/>
    <w:rsid w:val="00435B0B"/>
    <w:rsid w:val="004366E6"/>
    <w:rsid w:val="004370E8"/>
    <w:rsid w:val="00437144"/>
    <w:rsid w:val="00440010"/>
    <w:rsid w:val="00441C4A"/>
    <w:rsid w:val="00444899"/>
    <w:rsid w:val="00444C31"/>
    <w:rsid w:val="00445FA5"/>
    <w:rsid w:val="00446464"/>
    <w:rsid w:val="0045032D"/>
    <w:rsid w:val="00450440"/>
    <w:rsid w:val="0045161A"/>
    <w:rsid w:val="00454A16"/>
    <w:rsid w:val="00457785"/>
    <w:rsid w:val="004610A3"/>
    <w:rsid w:val="004639C8"/>
    <w:rsid w:val="00464B83"/>
    <w:rsid w:val="00464D8D"/>
    <w:rsid w:val="00465303"/>
    <w:rsid w:val="00471DAC"/>
    <w:rsid w:val="004722D0"/>
    <w:rsid w:val="00472ACD"/>
    <w:rsid w:val="00473478"/>
    <w:rsid w:val="0047479A"/>
    <w:rsid w:val="00474A81"/>
    <w:rsid w:val="00474CB3"/>
    <w:rsid w:val="00475345"/>
    <w:rsid w:val="00476445"/>
    <w:rsid w:val="0047645F"/>
    <w:rsid w:val="0047672C"/>
    <w:rsid w:val="00477DA7"/>
    <w:rsid w:val="00480F72"/>
    <w:rsid w:val="00481231"/>
    <w:rsid w:val="004817FA"/>
    <w:rsid w:val="004828A9"/>
    <w:rsid w:val="00483CFC"/>
    <w:rsid w:val="00485E30"/>
    <w:rsid w:val="00485F0E"/>
    <w:rsid w:val="0049176C"/>
    <w:rsid w:val="00492141"/>
    <w:rsid w:val="00494212"/>
    <w:rsid w:val="004945E0"/>
    <w:rsid w:val="00494E61"/>
    <w:rsid w:val="004A0E8A"/>
    <w:rsid w:val="004A6AB9"/>
    <w:rsid w:val="004A73DF"/>
    <w:rsid w:val="004A78D6"/>
    <w:rsid w:val="004B10D3"/>
    <w:rsid w:val="004B2DA9"/>
    <w:rsid w:val="004B2FDB"/>
    <w:rsid w:val="004B3304"/>
    <w:rsid w:val="004B3EBA"/>
    <w:rsid w:val="004B4300"/>
    <w:rsid w:val="004B5463"/>
    <w:rsid w:val="004B78EF"/>
    <w:rsid w:val="004C0EDD"/>
    <w:rsid w:val="004C360D"/>
    <w:rsid w:val="004C3A82"/>
    <w:rsid w:val="004C52C2"/>
    <w:rsid w:val="004C6DBD"/>
    <w:rsid w:val="004C7800"/>
    <w:rsid w:val="004D0F25"/>
    <w:rsid w:val="004D1E80"/>
    <w:rsid w:val="004D4CF4"/>
    <w:rsid w:val="004E1151"/>
    <w:rsid w:val="004E1DB5"/>
    <w:rsid w:val="004E22DF"/>
    <w:rsid w:val="004E5832"/>
    <w:rsid w:val="004F029C"/>
    <w:rsid w:val="004F31D1"/>
    <w:rsid w:val="004F3600"/>
    <w:rsid w:val="004F5179"/>
    <w:rsid w:val="004F6617"/>
    <w:rsid w:val="004F6F50"/>
    <w:rsid w:val="00500BE0"/>
    <w:rsid w:val="005017DC"/>
    <w:rsid w:val="00501961"/>
    <w:rsid w:val="00502C8F"/>
    <w:rsid w:val="00502E31"/>
    <w:rsid w:val="00503D96"/>
    <w:rsid w:val="0050444B"/>
    <w:rsid w:val="00507054"/>
    <w:rsid w:val="00511048"/>
    <w:rsid w:val="005118FF"/>
    <w:rsid w:val="0052700C"/>
    <w:rsid w:val="00530FF3"/>
    <w:rsid w:val="00532223"/>
    <w:rsid w:val="0053311C"/>
    <w:rsid w:val="00533527"/>
    <w:rsid w:val="00533940"/>
    <w:rsid w:val="005351A7"/>
    <w:rsid w:val="00540F66"/>
    <w:rsid w:val="005422DA"/>
    <w:rsid w:val="00546167"/>
    <w:rsid w:val="00546216"/>
    <w:rsid w:val="005515B6"/>
    <w:rsid w:val="0055310B"/>
    <w:rsid w:val="00560181"/>
    <w:rsid w:val="005617A0"/>
    <w:rsid w:val="005635B2"/>
    <w:rsid w:val="00565CFD"/>
    <w:rsid w:val="00571720"/>
    <w:rsid w:val="00583D64"/>
    <w:rsid w:val="00585FCD"/>
    <w:rsid w:val="0059155B"/>
    <w:rsid w:val="00592862"/>
    <w:rsid w:val="005936E9"/>
    <w:rsid w:val="005942AA"/>
    <w:rsid w:val="00597A94"/>
    <w:rsid w:val="005A28CB"/>
    <w:rsid w:val="005B2BA7"/>
    <w:rsid w:val="005B6C88"/>
    <w:rsid w:val="005B6EEB"/>
    <w:rsid w:val="005C4B9A"/>
    <w:rsid w:val="005C6161"/>
    <w:rsid w:val="005C621D"/>
    <w:rsid w:val="005D12B5"/>
    <w:rsid w:val="005D1307"/>
    <w:rsid w:val="005D6D89"/>
    <w:rsid w:val="005E0251"/>
    <w:rsid w:val="005E05E1"/>
    <w:rsid w:val="005E078B"/>
    <w:rsid w:val="005E208B"/>
    <w:rsid w:val="005E2AE5"/>
    <w:rsid w:val="005E3E2B"/>
    <w:rsid w:val="005E6FBB"/>
    <w:rsid w:val="005F0E50"/>
    <w:rsid w:val="005F56B8"/>
    <w:rsid w:val="005F6630"/>
    <w:rsid w:val="0060035A"/>
    <w:rsid w:val="00600B05"/>
    <w:rsid w:val="00600D94"/>
    <w:rsid w:val="00604041"/>
    <w:rsid w:val="00604F0C"/>
    <w:rsid w:val="006050ED"/>
    <w:rsid w:val="0060524A"/>
    <w:rsid w:val="00614737"/>
    <w:rsid w:val="00616920"/>
    <w:rsid w:val="00620359"/>
    <w:rsid w:val="00621965"/>
    <w:rsid w:val="0062612B"/>
    <w:rsid w:val="00627A2E"/>
    <w:rsid w:val="00630EBB"/>
    <w:rsid w:val="00631FCE"/>
    <w:rsid w:val="00632E18"/>
    <w:rsid w:val="0063519F"/>
    <w:rsid w:val="00635296"/>
    <w:rsid w:val="00636A78"/>
    <w:rsid w:val="0064078B"/>
    <w:rsid w:val="00640BA9"/>
    <w:rsid w:val="006420CF"/>
    <w:rsid w:val="00643AF0"/>
    <w:rsid w:val="0064497F"/>
    <w:rsid w:val="00645D22"/>
    <w:rsid w:val="006470BF"/>
    <w:rsid w:val="006471F9"/>
    <w:rsid w:val="006475FE"/>
    <w:rsid w:val="00651FF8"/>
    <w:rsid w:val="0065295D"/>
    <w:rsid w:val="00653879"/>
    <w:rsid w:val="00655099"/>
    <w:rsid w:val="00655B5E"/>
    <w:rsid w:val="00657DA3"/>
    <w:rsid w:val="00657E8D"/>
    <w:rsid w:val="006604C2"/>
    <w:rsid w:val="00660824"/>
    <w:rsid w:val="00663563"/>
    <w:rsid w:val="006644E2"/>
    <w:rsid w:val="00665158"/>
    <w:rsid w:val="00665F31"/>
    <w:rsid w:val="0066644C"/>
    <w:rsid w:val="00667FE8"/>
    <w:rsid w:val="00671719"/>
    <w:rsid w:val="006725E9"/>
    <w:rsid w:val="00675032"/>
    <w:rsid w:val="00682BA5"/>
    <w:rsid w:val="00684D97"/>
    <w:rsid w:val="00686BC1"/>
    <w:rsid w:val="00691A81"/>
    <w:rsid w:val="0069303B"/>
    <w:rsid w:val="0069333F"/>
    <w:rsid w:val="0069477D"/>
    <w:rsid w:val="00695264"/>
    <w:rsid w:val="006963C8"/>
    <w:rsid w:val="006966D8"/>
    <w:rsid w:val="006B330B"/>
    <w:rsid w:val="006B5823"/>
    <w:rsid w:val="006B5F2F"/>
    <w:rsid w:val="006C1D4C"/>
    <w:rsid w:val="006C3642"/>
    <w:rsid w:val="006C4662"/>
    <w:rsid w:val="006C471B"/>
    <w:rsid w:val="006D2901"/>
    <w:rsid w:val="006D2907"/>
    <w:rsid w:val="006D4796"/>
    <w:rsid w:val="006D6A93"/>
    <w:rsid w:val="006D7ED0"/>
    <w:rsid w:val="006E4AB2"/>
    <w:rsid w:val="006E4DDC"/>
    <w:rsid w:val="006E539E"/>
    <w:rsid w:val="006E75FF"/>
    <w:rsid w:val="006F0B9F"/>
    <w:rsid w:val="006F0D33"/>
    <w:rsid w:val="006F34B7"/>
    <w:rsid w:val="006F39FE"/>
    <w:rsid w:val="00703698"/>
    <w:rsid w:val="00703DBD"/>
    <w:rsid w:val="007054C2"/>
    <w:rsid w:val="00712909"/>
    <w:rsid w:val="0071369E"/>
    <w:rsid w:val="0071384E"/>
    <w:rsid w:val="00715F75"/>
    <w:rsid w:val="00716257"/>
    <w:rsid w:val="007263DA"/>
    <w:rsid w:val="007272C7"/>
    <w:rsid w:val="00727EF0"/>
    <w:rsid w:val="00734149"/>
    <w:rsid w:val="00736A3F"/>
    <w:rsid w:val="00736D3A"/>
    <w:rsid w:val="0074082A"/>
    <w:rsid w:val="00740A99"/>
    <w:rsid w:val="00742B23"/>
    <w:rsid w:val="00742D26"/>
    <w:rsid w:val="00743826"/>
    <w:rsid w:val="007449CA"/>
    <w:rsid w:val="00745026"/>
    <w:rsid w:val="00745761"/>
    <w:rsid w:val="00747661"/>
    <w:rsid w:val="00750741"/>
    <w:rsid w:val="007530BF"/>
    <w:rsid w:val="007538E3"/>
    <w:rsid w:val="00753D15"/>
    <w:rsid w:val="00762C6B"/>
    <w:rsid w:val="00770504"/>
    <w:rsid w:val="0077634B"/>
    <w:rsid w:val="00777B7D"/>
    <w:rsid w:val="00781DC6"/>
    <w:rsid w:val="007826C4"/>
    <w:rsid w:val="00782924"/>
    <w:rsid w:val="0078626A"/>
    <w:rsid w:val="007910AE"/>
    <w:rsid w:val="0079405F"/>
    <w:rsid w:val="00795633"/>
    <w:rsid w:val="00796303"/>
    <w:rsid w:val="007A4538"/>
    <w:rsid w:val="007A45C8"/>
    <w:rsid w:val="007A57F4"/>
    <w:rsid w:val="007A5CB7"/>
    <w:rsid w:val="007A6EFD"/>
    <w:rsid w:val="007A73D0"/>
    <w:rsid w:val="007B3452"/>
    <w:rsid w:val="007B4B36"/>
    <w:rsid w:val="007B76E7"/>
    <w:rsid w:val="007B7BCD"/>
    <w:rsid w:val="007C0892"/>
    <w:rsid w:val="007C27D1"/>
    <w:rsid w:val="007C2A36"/>
    <w:rsid w:val="007C2A89"/>
    <w:rsid w:val="007C7304"/>
    <w:rsid w:val="007D537E"/>
    <w:rsid w:val="007D7B50"/>
    <w:rsid w:val="007D7F2B"/>
    <w:rsid w:val="007E04C6"/>
    <w:rsid w:val="007E3764"/>
    <w:rsid w:val="007E4175"/>
    <w:rsid w:val="007E7F8F"/>
    <w:rsid w:val="007F4B0F"/>
    <w:rsid w:val="007F4EAA"/>
    <w:rsid w:val="007F5841"/>
    <w:rsid w:val="008001AF"/>
    <w:rsid w:val="008018B4"/>
    <w:rsid w:val="00810A63"/>
    <w:rsid w:val="00810F7C"/>
    <w:rsid w:val="008116A5"/>
    <w:rsid w:val="00813BFA"/>
    <w:rsid w:val="00814CA9"/>
    <w:rsid w:val="008161E4"/>
    <w:rsid w:val="00822229"/>
    <w:rsid w:val="0082375E"/>
    <w:rsid w:val="00825B24"/>
    <w:rsid w:val="00830BF1"/>
    <w:rsid w:val="008314F8"/>
    <w:rsid w:val="00834017"/>
    <w:rsid w:val="00834B7B"/>
    <w:rsid w:val="0084106F"/>
    <w:rsid w:val="008419C1"/>
    <w:rsid w:val="008457DD"/>
    <w:rsid w:val="00846EE2"/>
    <w:rsid w:val="008471DD"/>
    <w:rsid w:val="00847E58"/>
    <w:rsid w:val="00852360"/>
    <w:rsid w:val="00857407"/>
    <w:rsid w:val="00857A21"/>
    <w:rsid w:val="00860F67"/>
    <w:rsid w:val="00862CAC"/>
    <w:rsid w:val="008729AE"/>
    <w:rsid w:val="00874B2C"/>
    <w:rsid w:val="00875D89"/>
    <w:rsid w:val="008774F8"/>
    <w:rsid w:val="00886965"/>
    <w:rsid w:val="008870C2"/>
    <w:rsid w:val="00887239"/>
    <w:rsid w:val="0089045D"/>
    <w:rsid w:val="00890584"/>
    <w:rsid w:val="00891225"/>
    <w:rsid w:val="0089146C"/>
    <w:rsid w:val="008922FE"/>
    <w:rsid w:val="00894040"/>
    <w:rsid w:val="008957E0"/>
    <w:rsid w:val="008A2FE3"/>
    <w:rsid w:val="008B0A65"/>
    <w:rsid w:val="008B1D79"/>
    <w:rsid w:val="008B5744"/>
    <w:rsid w:val="008B5BFB"/>
    <w:rsid w:val="008B6094"/>
    <w:rsid w:val="008C2BCB"/>
    <w:rsid w:val="008C4354"/>
    <w:rsid w:val="008C5D46"/>
    <w:rsid w:val="008C6EBB"/>
    <w:rsid w:val="008D0863"/>
    <w:rsid w:val="008D1FC7"/>
    <w:rsid w:val="008D3FC6"/>
    <w:rsid w:val="008D62E7"/>
    <w:rsid w:val="008E7223"/>
    <w:rsid w:val="008F11DF"/>
    <w:rsid w:val="008F2508"/>
    <w:rsid w:val="008F3F34"/>
    <w:rsid w:val="008F4FE1"/>
    <w:rsid w:val="008F7719"/>
    <w:rsid w:val="00900CA9"/>
    <w:rsid w:val="009078BC"/>
    <w:rsid w:val="00907A46"/>
    <w:rsid w:val="00914A9E"/>
    <w:rsid w:val="009163E7"/>
    <w:rsid w:val="00917933"/>
    <w:rsid w:val="00917B18"/>
    <w:rsid w:val="0092048E"/>
    <w:rsid w:val="0092238E"/>
    <w:rsid w:val="0092239B"/>
    <w:rsid w:val="0092319C"/>
    <w:rsid w:val="0092429A"/>
    <w:rsid w:val="00926F4C"/>
    <w:rsid w:val="0093176E"/>
    <w:rsid w:val="00933FAF"/>
    <w:rsid w:val="0093567A"/>
    <w:rsid w:val="00936CE1"/>
    <w:rsid w:val="00942112"/>
    <w:rsid w:val="00943AA1"/>
    <w:rsid w:val="0094563C"/>
    <w:rsid w:val="00945DC6"/>
    <w:rsid w:val="00947C3B"/>
    <w:rsid w:val="00947D68"/>
    <w:rsid w:val="0095271C"/>
    <w:rsid w:val="00952BAF"/>
    <w:rsid w:val="00953714"/>
    <w:rsid w:val="00954482"/>
    <w:rsid w:val="009545D4"/>
    <w:rsid w:val="00956CEF"/>
    <w:rsid w:val="009612E0"/>
    <w:rsid w:val="009614F0"/>
    <w:rsid w:val="0096284D"/>
    <w:rsid w:val="009641CA"/>
    <w:rsid w:val="009650F4"/>
    <w:rsid w:val="00965512"/>
    <w:rsid w:val="009670C5"/>
    <w:rsid w:val="00972477"/>
    <w:rsid w:val="009749D7"/>
    <w:rsid w:val="00982787"/>
    <w:rsid w:val="00983051"/>
    <w:rsid w:val="00985017"/>
    <w:rsid w:val="0098777C"/>
    <w:rsid w:val="0099226E"/>
    <w:rsid w:val="00992DEC"/>
    <w:rsid w:val="00993009"/>
    <w:rsid w:val="00993F14"/>
    <w:rsid w:val="00995E7E"/>
    <w:rsid w:val="009A20B7"/>
    <w:rsid w:val="009A3EF7"/>
    <w:rsid w:val="009A566F"/>
    <w:rsid w:val="009A581D"/>
    <w:rsid w:val="009B07B8"/>
    <w:rsid w:val="009B1A4D"/>
    <w:rsid w:val="009B365E"/>
    <w:rsid w:val="009B4692"/>
    <w:rsid w:val="009C36C8"/>
    <w:rsid w:val="009D188A"/>
    <w:rsid w:val="009D1AFE"/>
    <w:rsid w:val="009D299D"/>
    <w:rsid w:val="009D69C3"/>
    <w:rsid w:val="009D6BF2"/>
    <w:rsid w:val="009D7ABF"/>
    <w:rsid w:val="009D7AD4"/>
    <w:rsid w:val="009E10C2"/>
    <w:rsid w:val="009E2519"/>
    <w:rsid w:val="009E3F3D"/>
    <w:rsid w:val="009E4438"/>
    <w:rsid w:val="009E746D"/>
    <w:rsid w:val="009F0B60"/>
    <w:rsid w:val="00A07401"/>
    <w:rsid w:val="00A11791"/>
    <w:rsid w:val="00A12F9B"/>
    <w:rsid w:val="00A13B25"/>
    <w:rsid w:val="00A13EB5"/>
    <w:rsid w:val="00A140C9"/>
    <w:rsid w:val="00A16289"/>
    <w:rsid w:val="00A22E2C"/>
    <w:rsid w:val="00A2396B"/>
    <w:rsid w:val="00A24F9C"/>
    <w:rsid w:val="00A27BFE"/>
    <w:rsid w:val="00A31688"/>
    <w:rsid w:val="00A32BA4"/>
    <w:rsid w:val="00A35155"/>
    <w:rsid w:val="00A364A6"/>
    <w:rsid w:val="00A37785"/>
    <w:rsid w:val="00A4574E"/>
    <w:rsid w:val="00A462EB"/>
    <w:rsid w:val="00A51AF3"/>
    <w:rsid w:val="00A51AFB"/>
    <w:rsid w:val="00A52687"/>
    <w:rsid w:val="00A66388"/>
    <w:rsid w:val="00A67A92"/>
    <w:rsid w:val="00A72B8C"/>
    <w:rsid w:val="00A75641"/>
    <w:rsid w:val="00A7690A"/>
    <w:rsid w:val="00A76CB0"/>
    <w:rsid w:val="00A83365"/>
    <w:rsid w:val="00A83CC5"/>
    <w:rsid w:val="00A84ACB"/>
    <w:rsid w:val="00A85155"/>
    <w:rsid w:val="00A87429"/>
    <w:rsid w:val="00A936A2"/>
    <w:rsid w:val="00A9376F"/>
    <w:rsid w:val="00AA5AA8"/>
    <w:rsid w:val="00AA5AC2"/>
    <w:rsid w:val="00AB1A4F"/>
    <w:rsid w:val="00AB3479"/>
    <w:rsid w:val="00AB6856"/>
    <w:rsid w:val="00AB7F4B"/>
    <w:rsid w:val="00AC3DC6"/>
    <w:rsid w:val="00AC4970"/>
    <w:rsid w:val="00AC5A26"/>
    <w:rsid w:val="00AC630C"/>
    <w:rsid w:val="00AD1775"/>
    <w:rsid w:val="00AD1D24"/>
    <w:rsid w:val="00AD5C72"/>
    <w:rsid w:val="00AE267C"/>
    <w:rsid w:val="00AE2F4D"/>
    <w:rsid w:val="00AE48B3"/>
    <w:rsid w:val="00AF0B6A"/>
    <w:rsid w:val="00AF2ABB"/>
    <w:rsid w:val="00AF48BE"/>
    <w:rsid w:val="00B00A41"/>
    <w:rsid w:val="00B13E31"/>
    <w:rsid w:val="00B1551A"/>
    <w:rsid w:val="00B168A8"/>
    <w:rsid w:val="00B213F4"/>
    <w:rsid w:val="00B24A23"/>
    <w:rsid w:val="00B24E66"/>
    <w:rsid w:val="00B276CF"/>
    <w:rsid w:val="00B27838"/>
    <w:rsid w:val="00B30EC1"/>
    <w:rsid w:val="00B313F0"/>
    <w:rsid w:val="00B31E30"/>
    <w:rsid w:val="00B326DF"/>
    <w:rsid w:val="00B32A1A"/>
    <w:rsid w:val="00B378E4"/>
    <w:rsid w:val="00B37A38"/>
    <w:rsid w:val="00B40A9C"/>
    <w:rsid w:val="00B45AE0"/>
    <w:rsid w:val="00B46F00"/>
    <w:rsid w:val="00B53E5B"/>
    <w:rsid w:val="00B53F5D"/>
    <w:rsid w:val="00B54F59"/>
    <w:rsid w:val="00B57804"/>
    <w:rsid w:val="00B601A7"/>
    <w:rsid w:val="00B63D8A"/>
    <w:rsid w:val="00B658A5"/>
    <w:rsid w:val="00B66FF2"/>
    <w:rsid w:val="00B74966"/>
    <w:rsid w:val="00B85439"/>
    <w:rsid w:val="00B86137"/>
    <w:rsid w:val="00B9059F"/>
    <w:rsid w:val="00B948D5"/>
    <w:rsid w:val="00B971A7"/>
    <w:rsid w:val="00BA0EDB"/>
    <w:rsid w:val="00BA391E"/>
    <w:rsid w:val="00BA71B6"/>
    <w:rsid w:val="00BB0014"/>
    <w:rsid w:val="00BB0643"/>
    <w:rsid w:val="00BB0B1D"/>
    <w:rsid w:val="00BB21DF"/>
    <w:rsid w:val="00BB5BA5"/>
    <w:rsid w:val="00BB693D"/>
    <w:rsid w:val="00BB6EBB"/>
    <w:rsid w:val="00BB7A1D"/>
    <w:rsid w:val="00BC17BC"/>
    <w:rsid w:val="00BC3E6D"/>
    <w:rsid w:val="00BC4700"/>
    <w:rsid w:val="00BD0CEB"/>
    <w:rsid w:val="00BD2024"/>
    <w:rsid w:val="00BD2DD7"/>
    <w:rsid w:val="00BD2F28"/>
    <w:rsid w:val="00BD698F"/>
    <w:rsid w:val="00BE1842"/>
    <w:rsid w:val="00BE27F2"/>
    <w:rsid w:val="00BE3CCD"/>
    <w:rsid w:val="00BE4CBE"/>
    <w:rsid w:val="00BE6174"/>
    <w:rsid w:val="00BF1F79"/>
    <w:rsid w:val="00BF40FB"/>
    <w:rsid w:val="00BF4C9F"/>
    <w:rsid w:val="00BF579A"/>
    <w:rsid w:val="00BF66C7"/>
    <w:rsid w:val="00BF68EB"/>
    <w:rsid w:val="00BF6D93"/>
    <w:rsid w:val="00C051D6"/>
    <w:rsid w:val="00C100A8"/>
    <w:rsid w:val="00C10DFB"/>
    <w:rsid w:val="00C12A32"/>
    <w:rsid w:val="00C13076"/>
    <w:rsid w:val="00C149B1"/>
    <w:rsid w:val="00C14A11"/>
    <w:rsid w:val="00C163E7"/>
    <w:rsid w:val="00C179C3"/>
    <w:rsid w:val="00C20A8C"/>
    <w:rsid w:val="00C2469B"/>
    <w:rsid w:val="00C3088E"/>
    <w:rsid w:val="00C32B8D"/>
    <w:rsid w:val="00C33943"/>
    <w:rsid w:val="00C365AD"/>
    <w:rsid w:val="00C3706C"/>
    <w:rsid w:val="00C37C09"/>
    <w:rsid w:val="00C411EE"/>
    <w:rsid w:val="00C44202"/>
    <w:rsid w:val="00C4447E"/>
    <w:rsid w:val="00C538E2"/>
    <w:rsid w:val="00C54709"/>
    <w:rsid w:val="00C606B1"/>
    <w:rsid w:val="00C63DF3"/>
    <w:rsid w:val="00C66604"/>
    <w:rsid w:val="00C67B98"/>
    <w:rsid w:val="00C70F56"/>
    <w:rsid w:val="00C72A23"/>
    <w:rsid w:val="00C7343E"/>
    <w:rsid w:val="00C776AF"/>
    <w:rsid w:val="00C8182C"/>
    <w:rsid w:val="00C8301D"/>
    <w:rsid w:val="00C844C2"/>
    <w:rsid w:val="00C91B58"/>
    <w:rsid w:val="00C936B6"/>
    <w:rsid w:val="00C9385E"/>
    <w:rsid w:val="00C9494D"/>
    <w:rsid w:val="00C9586D"/>
    <w:rsid w:val="00C96913"/>
    <w:rsid w:val="00CA0B4C"/>
    <w:rsid w:val="00CA19D3"/>
    <w:rsid w:val="00CA47F7"/>
    <w:rsid w:val="00CB0BEF"/>
    <w:rsid w:val="00CB5036"/>
    <w:rsid w:val="00CB60C8"/>
    <w:rsid w:val="00CC06A2"/>
    <w:rsid w:val="00CC29E8"/>
    <w:rsid w:val="00CC2B0F"/>
    <w:rsid w:val="00CC2F40"/>
    <w:rsid w:val="00CC3F51"/>
    <w:rsid w:val="00CC4FDB"/>
    <w:rsid w:val="00CE11CB"/>
    <w:rsid w:val="00CE79F4"/>
    <w:rsid w:val="00CF43AB"/>
    <w:rsid w:val="00CF500A"/>
    <w:rsid w:val="00CF6132"/>
    <w:rsid w:val="00CF6607"/>
    <w:rsid w:val="00D017E5"/>
    <w:rsid w:val="00D06517"/>
    <w:rsid w:val="00D06F5B"/>
    <w:rsid w:val="00D110F9"/>
    <w:rsid w:val="00D111BA"/>
    <w:rsid w:val="00D148AC"/>
    <w:rsid w:val="00D158DF"/>
    <w:rsid w:val="00D20AFA"/>
    <w:rsid w:val="00D24C8D"/>
    <w:rsid w:val="00D26724"/>
    <w:rsid w:val="00D27B44"/>
    <w:rsid w:val="00D311B4"/>
    <w:rsid w:val="00D36034"/>
    <w:rsid w:val="00D439E6"/>
    <w:rsid w:val="00D44139"/>
    <w:rsid w:val="00D453ED"/>
    <w:rsid w:val="00D45561"/>
    <w:rsid w:val="00D463B1"/>
    <w:rsid w:val="00D46F91"/>
    <w:rsid w:val="00D47919"/>
    <w:rsid w:val="00D56082"/>
    <w:rsid w:val="00D5637C"/>
    <w:rsid w:val="00D60AD9"/>
    <w:rsid w:val="00D611D6"/>
    <w:rsid w:val="00D672EC"/>
    <w:rsid w:val="00D76B53"/>
    <w:rsid w:val="00D800EC"/>
    <w:rsid w:val="00D8170C"/>
    <w:rsid w:val="00D87DE5"/>
    <w:rsid w:val="00D91ADA"/>
    <w:rsid w:val="00D9240C"/>
    <w:rsid w:val="00D93FE6"/>
    <w:rsid w:val="00D97776"/>
    <w:rsid w:val="00DA1FA2"/>
    <w:rsid w:val="00DA30BF"/>
    <w:rsid w:val="00DA55BD"/>
    <w:rsid w:val="00DA7959"/>
    <w:rsid w:val="00DB1085"/>
    <w:rsid w:val="00DB4796"/>
    <w:rsid w:val="00DB5A23"/>
    <w:rsid w:val="00DB65B1"/>
    <w:rsid w:val="00DC2C17"/>
    <w:rsid w:val="00DC6595"/>
    <w:rsid w:val="00DC6805"/>
    <w:rsid w:val="00DD1E3C"/>
    <w:rsid w:val="00DD4C1B"/>
    <w:rsid w:val="00DD4CCB"/>
    <w:rsid w:val="00DD619A"/>
    <w:rsid w:val="00DD6A47"/>
    <w:rsid w:val="00DD7F7C"/>
    <w:rsid w:val="00DE1A96"/>
    <w:rsid w:val="00DE5E97"/>
    <w:rsid w:val="00DE605A"/>
    <w:rsid w:val="00DF30D1"/>
    <w:rsid w:val="00DF3BDD"/>
    <w:rsid w:val="00DF44B3"/>
    <w:rsid w:val="00DF4707"/>
    <w:rsid w:val="00DF56C4"/>
    <w:rsid w:val="00DF7ECF"/>
    <w:rsid w:val="00E04CAA"/>
    <w:rsid w:val="00E052B7"/>
    <w:rsid w:val="00E146BF"/>
    <w:rsid w:val="00E14D91"/>
    <w:rsid w:val="00E1624E"/>
    <w:rsid w:val="00E16979"/>
    <w:rsid w:val="00E23FF1"/>
    <w:rsid w:val="00E25A56"/>
    <w:rsid w:val="00E27176"/>
    <w:rsid w:val="00E278B6"/>
    <w:rsid w:val="00E3243E"/>
    <w:rsid w:val="00E36A5A"/>
    <w:rsid w:val="00E40654"/>
    <w:rsid w:val="00E438EB"/>
    <w:rsid w:val="00E45A5A"/>
    <w:rsid w:val="00E515C8"/>
    <w:rsid w:val="00E53355"/>
    <w:rsid w:val="00E579AB"/>
    <w:rsid w:val="00E64496"/>
    <w:rsid w:val="00E66D4A"/>
    <w:rsid w:val="00E732FB"/>
    <w:rsid w:val="00E74BCF"/>
    <w:rsid w:val="00E74EDB"/>
    <w:rsid w:val="00E7638C"/>
    <w:rsid w:val="00E76834"/>
    <w:rsid w:val="00E76E02"/>
    <w:rsid w:val="00E776B3"/>
    <w:rsid w:val="00E81924"/>
    <w:rsid w:val="00E8327D"/>
    <w:rsid w:val="00E903D5"/>
    <w:rsid w:val="00E95355"/>
    <w:rsid w:val="00E9639F"/>
    <w:rsid w:val="00EA6386"/>
    <w:rsid w:val="00EA68C3"/>
    <w:rsid w:val="00EA79E2"/>
    <w:rsid w:val="00EB111B"/>
    <w:rsid w:val="00EB204A"/>
    <w:rsid w:val="00EB260E"/>
    <w:rsid w:val="00EB438B"/>
    <w:rsid w:val="00EB4D32"/>
    <w:rsid w:val="00EB5EF4"/>
    <w:rsid w:val="00EB726E"/>
    <w:rsid w:val="00EC02D8"/>
    <w:rsid w:val="00EC2B33"/>
    <w:rsid w:val="00EC339B"/>
    <w:rsid w:val="00EC6497"/>
    <w:rsid w:val="00EC6C00"/>
    <w:rsid w:val="00ED08C7"/>
    <w:rsid w:val="00ED1165"/>
    <w:rsid w:val="00ED2F53"/>
    <w:rsid w:val="00ED5A93"/>
    <w:rsid w:val="00EE2AA8"/>
    <w:rsid w:val="00EE420B"/>
    <w:rsid w:val="00EF08F7"/>
    <w:rsid w:val="00EF0BDF"/>
    <w:rsid w:val="00EF1E8E"/>
    <w:rsid w:val="00EF30B4"/>
    <w:rsid w:val="00F01A64"/>
    <w:rsid w:val="00F03861"/>
    <w:rsid w:val="00F05610"/>
    <w:rsid w:val="00F05812"/>
    <w:rsid w:val="00F14207"/>
    <w:rsid w:val="00F146C0"/>
    <w:rsid w:val="00F14F2C"/>
    <w:rsid w:val="00F204C1"/>
    <w:rsid w:val="00F23C71"/>
    <w:rsid w:val="00F24B53"/>
    <w:rsid w:val="00F32F47"/>
    <w:rsid w:val="00F36717"/>
    <w:rsid w:val="00F373AC"/>
    <w:rsid w:val="00F37D9E"/>
    <w:rsid w:val="00F4197C"/>
    <w:rsid w:val="00F41AF1"/>
    <w:rsid w:val="00F4352E"/>
    <w:rsid w:val="00F45A9A"/>
    <w:rsid w:val="00F45F98"/>
    <w:rsid w:val="00F46459"/>
    <w:rsid w:val="00F47750"/>
    <w:rsid w:val="00F5010D"/>
    <w:rsid w:val="00F514F8"/>
    <w:rsid w:val="00F52146"/>
    <w:rsid w:val="00F56C3F"/>
    <w:rsid w:val="00F57C09"/>
    <w:rsid w:val="00F611BF"/>
    <w:rsid w:val="00F655BF"/>
    <w:rsid w:val="00F67B97"/>
    <w:rsid w:val="00F715CC"/>
    <w:rsid w:val="00F71726"/>
    <w:rsid w:val="00F73382"/>
    <w:rsid w:val="00F73A0F"/>
    <w:rsid w:val="00F73CDE"/>
    <w:rsid w:val="00F75AB6"/>
    <w:rsid w:val="00F766FC"/>
    <w:rsid w:val="00F76E43"/>
    <w:rsid w:val="00F77CCC"/>
    <w:rsid w:val="00F80C1D"/>
    <w:rsid w:val="00F840B3"/>
    <w:rsid w:val="00F85DA2"/>
    <w:rsid w:val="00F868D4"/>
    <w:rsid w:val="00F87780"/>
    <w:rsid w:val="00F9231D"/>
    <w:rsid w:val="00F92975"/>
    <w:rsid w:val="00F93BF4"/>
    <w:rsid w:val="00F969EA"/>
    <w:rsid w:val="00FA15DA"/>
    <w:rsid w:val="00FA5179"/>
    <w:rsid w:val="00FA5C64"/>
    <w:rsid w:val="00FA73FE"/>
    <w:rsid w:val="00FB02F2"/>
    <w:rsid w:val="00FB0AFC"/>
    <w:rsid w:val="00FB6544"/>
    <w:rsid w:val="00FB7B49"/>
    <w:rsid w:val="00FC0174"/>
    <w:rsid w:val="00FC1326"/>
    <w:rsid w:val="00FC34A0"/>
    <w:rsid w:val="00FC3547"/>
    <w:rsid w:val="00FC6761"/>
    <w:rsid w:val="00FC68EA"/>
    <w:rsid w:val="00FD0D29"/>
    <w:rsid w:val="00FD66F4"/>
    <w:rsid w:val="00FE1075"/>
    <w:rsid w:val="00FE2DB1"/>
    <w:rsid w:val="00FE4CDC"/>
    <w:rsid w:val="00FE574B"/>
    <w:rsid w:val="00FE6B37"/>
    <w:rsid w:val="00FF2CD5"/>
    <w:rsid w:val="00FF32CE"/>
    <w:rsid w:val="00FF4CF8"/>
    <w:rsid w:val="00FF6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7785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Dot pt,No Spacing1,List Paragraph Char Char Char,Indicator Text,Numbered Para 1,List Paragraph1,Bullet Points,MAIN CONTENT,Bullet 1,OBC Bullet,List Paragraph11,List Paragraph12,F5 List Paragraph,Colorful List - Accent 11,Normal numbered"/>
    <w:basedOn w:val="Normal"/>
    <w:link w:val="ListParagraphChar"/>
    <w:uiPriority w:val="34"/>
    <w:qFormat/>
    <w:rsid w:val="009E443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9146C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9146C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9146C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9146C"/>
    <w:rPr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2F05F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uiPriority w:val="99"/>
    <w:semiHidden/>
    <w:unhideWhenUsed/>
    <w:rsid w:val="009670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670C5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670C5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70C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670C5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7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670C5"/>
    <w:rPr>
      <w:rFonts w:ascii="Tahoma" w:hAnsi="Tahoma" w:cs="Tahoma"/>
      <w:sz w:val="16"/>
      <w:szCs w:val="16"/>
      <w:lang w:eastAsia="en-US"/>
    </w:rPr>
  </w:style>
  <w:style w:type="character" w:customStyle="1" w:styleId="ListParagraphChar">
    <w:name w:val="List Paragraph Char"/>
    <w:aliases w:val="Dot pt Char,No Spacing1 Char,List Paragraph Char Char Char Char,Indicator Text Char,Numbered Para 1 Char,List Paragraph1 Char,Bullet Points Char,MAIN CONTENT Char,Bullet 1 Char,OBC Bullet Char,List Paragraph11 Char"/>
    <w:link w:val="ListParagraph"/>
    <w:uiPriority w:val="34"/>
    <w:qFormat/>
    <w:locked/>
    <w:rsid w:val="00EC339B"/>
    <w:rPr>
      <w:sz w:val="22"/>
      <w:szCs w:val="22"/>
      <w:lang w:eastAsia="en-US"/>
    </w:rPr>
  </w:style>
  <w:style w:type="paragraph" w:styleId="NoSpacing">
    <w:name w:val="No Spacing"/>
    <w:uiPriority w:val="1"/>
    <w:qFormat/>
    <w:rsid w:val="004F6617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BC47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Numberedparas">
    <w:name w:val="Numbered paras"/>
    <w:basedOn w:val="ListParagraph"/>
    <w:qFormat/>
    <w:rsid w:val="000F5812"/>
    <w:pPr>
      <w:numPr>
        <w:numId w:val="2"/>
      </w:numPr>
      <w:spacing w:after="120"/>
      <w:contextualSpacing w:val="0"/>
    </w:pPr>
    <w:rPr>
      <w:rFonts w:ascii="Arial" w:hAnsi="Arial" w:cs="Arial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E438E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6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5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0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5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44664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7625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1728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0631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7554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3326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76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0567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032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2067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62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88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4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36B43-2A44-4EE6-978B-EC57ADA26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C0E7CE2D</Template>
  <TotalTime>0</TotalTime>
  <Pages>3</Pages>
  <Words>882</Words>
  <Characters>5034</Characters>
  <Application>Microsoft Office Word</Application>
  <DocSecurity>4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DECC</Company>
  <LinksUpToDate>false</LinksUpToDate>
  <CharactersWithSpaces>5905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Rhampton</dc:creator>
  <cp:lastModifiedBy>Crow Helena (Fuel Poverty &amp; Smart Meters)</cp:lastModifiedBy>
  <cp:revision>2</cp:revision>
  <cp:lastPrinted>2013-02-22T14:36:00Z</cp:lastPrinted>
  <dcterms:created xsi:type="dcterms:W3CDTF">2013-11-29T17:07:00Z</dcterms:created>
  <dcterms:modified xsi:type="dcterms:W3CDTF">2013-11-29T17:07:00Z</dcterms:modified>
</cp:coreProperties>
</file>